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3" w:rsidRDefault="00B33CD3" w:rsidP="00715B00">
      <w:pPr>
        <w:pStyle w:val="Tytu"/>
        <w:ind w:right="225"/>
      </w:pPr>
    </w:p>
    <w:p w:rsidR="00B33CD3" w:rsidRPr="00AE0E55" w:rsidRDefault="00B33CD3" w:rsidP="00715B00">
      <w:pPr>
        <w:widowControl/>
        <w:autoSpaceDE/>
        <w:autoSpaceDN/>
        <w:spacing w:after="160" w:line="259" w:lineRule="auto"/>
        <w:ind w:right="225"/>
        <w:jc w:val="right"/>
        <w:rPr>
          <w:rFonts w:ascii="Calibri" w:eastAsia="Calibri" w:hAnsi="Calibri" w:cs="Times New Roman"/>
          <w:color w:val="0070C0"/>
          <w:sz w:val="18"/>
          <w:szCs w:val="18"/>
        </w:rPr>
      </w:pPr>
      <w:r w:rsidRPr="00AE0E55">
        <w:rPr>
          <w:rFonts w:ascii="Calibri" w:eastAsia="Calibri" w:hAnsi="Calibri" w:cs="Times New Roman"/>
          <w:color w:val="0070C0"/>
          <w:sz w:val="18"/>
          <w:szCs w:val="18"/>
        </w:rPr>
        <w:t xml:space="preserve">Załącznik nr </w:t>
      </w:r>
      <w:r w:rsidR="002F010D">
        <w:rPr>
          <w:rFonts w:ascii="Calibri" w:eastAsia="Calibri" w:hAnsi="Calibri" w:cs="Times New Roman"/>
          <w:color w:val="0070C0"/>
          <w:sz w:val="18"/>
          <w:szCs w:val="18"/>
        </w:rPr>
        <w:t>9</w:t>
      </w:r>
      <w:r w:rsidRPr="00AE0E55">
        <w:rPr>
          <w:rFonts w:ascii="Calibri" w:eastAsia="Calibri" w:hAnsi="Calibri" w:cs="Times New Roman"/>
          <w:color w:val="0070C0"/>
          <w:sz w:val="18"/>
          <w:szCs w:val="18"/>
        </w:rPr>
        <w:t xml:space="preserve"> do SWZ</w:t>
      </w:r>
    </w:p>
    <w:p w:rsidR="00B33CD3" w:rsidRPr="00AE0E55" w:rsidRDefault="00B33CD3" w:rsidP="00715B00">
      <w:pPr>
        <w:widowControl/>
        <w:autoSpaceDE/>
        <w:autoSpaceDN/>
        <w:spacing w:after="160" w:line="259" w:lineRule="auto"/>
        <w:ind w:right="225"/>
        <w:rPr>
          <w:rFonts w:ascii="Calibri" w:eastAsia="Calibri" w:hAnsi="Calibri" w:cs="Times New Roman"/>
          <w:color w:val="0070C0"/>
          <w:sz w:val="18"/>
          <w:szCs w:val="18"/>
        </w:rPr>
      </w:pPr>
      <w:r w:rsidRPr="00AE0E55">
        <w:rPr>
          <w:rFonts w:ascii="Calibri" w:eastAsia="Calibri" w:hAnsi="Calibri" w:cs="Times New Roman"/>
          <w:color w:val="0070C0"/>
          <w:sz w:val="18"/>
          <w:szCs w:val="18"/>
        </w:rPr>
        <w:t>Oznaczenie postępowania: DAG.291.</w:t>
      </w:r>
      <w:r w:rsidR="00815263">
        <w:rPr>
          <w:rFonts w:ascii="Calibri" w:eastAsia="Calibri" w:hAnsi="Calibri" w:cs="Times New Roman"/>
          <w:color w:val="0070C0"/>
          <w:sz w:val="18"/>
          <w:szCs w:val="18"/>
        </w:rPr>
        <w:t>1</w:t>
      </w:r>
      <w:r w:rsidR="002F010D">
        <w:rPr>
          <w:rFonts w:ascii="Calibri" w:eastAsia="Calibri" w:hAnsi="Calibri" w:cs="Times New Roman"/>
          <w:color w:val="0070C0"/>
          <w:sz w:val="18"/>
          <w:szCs w:val="18"/>
        </w:rPr>
        <w:t>7</w:t>
      </w:r>
      <w:r w:rsidRPr="00AE0E55">
        <w:rPr>
          <w:rFonts w:ascii="Calibri" w:eastAsia="Calibri" w:hAnsi="Calibri" w:cs="Times New Roman"/>
          <w:color w:val="0070C0"/>
          <w:sz w:val="18"/>
          <w:szCs w:val="18"/>
        </w:rPr>
        <w:t>.202</w:t>
      </w:r>
      <w:r w:rsidR="00254706">
        <w:rPr>
          <w:rFonts w:ascii="Calibri" w:eastAsia="Calibri" w:hAnsi="Calibri" w:cs="Times New Roman"/>
          <w:color w:val="0070C0"/>
          <w:sz w:val="18"/>
          <w:szCs w:val="18"/>
        </w:rPr>
        <w:t>3</w:t>
      </w:r>
    </w:p>
    <w:p w:rsidR="00B33CD3" w:rsidRPr="00B33CD3" w:rsidRDefault="00B33CD3" w:rsidP="00715B00">
      <w:pPr>
        <w:pStyle w:val="Tytu"/>
        <w:ind w:right="225"/>
        <w:rPr>
          <w:color w:val="FF0000"/>
        </w:rPr>
      </w:pPr>
    </w:p>
    <w:p w:rsidR="00B051D4" w:rsidRPr="00B33CD3" w:rsidRDefault="00B051D4" w:rsidP="00715B00">
      <w:pPr>
        <w:pStyle w:val="Tekstpodstawowy"/>
        <w:ind w:right="225"/>
        <w:rPr>
          <w:b/>
          <w:color w:val="FF0000"/>
          <w:sz w:val="28"/>
        </w:rPr>
      </w:pPr>
    </w:p>
    <w:p w:rsidR="00B051D4" w:rsidRPr="00B33CD3" w:rsidRDefault="00D00C31" w:rsidP="00AE0E55">
      <w:pPr>
        <w:pStyle w:val="Nagwek1"/>
        <w:spacing w:before="182"/>
        <w:ind w:left="1980" w:right="225" w:firstLine="180"/>
      </w:pPr>
      <w:r w:rsidRPr="00B33CD3">
        <w:t>KARTA GWARANCYJNA DO UMOWY Z DNIA …….</w:t>
      </w:r>
    </w:p>
    <w:p w:rsidR="00B051D4" w:rsidRPr="00B33CD3" w:rsidRDefault="00B051D4" w:rsidP="00715B00">
      <w:pPr>
        <w:pStyle w:val="Tekstpodstawowy"/>
        <w:spacing w:before="2"/>
        <w:ind w:right="225"/>
        <w:rPr>
          <w:b/>
        </w:rPr>
      </w:pPr>
    </w:p>
    <w:p w:rsidR="00B051D4" w:rsidRPr="00B33CD3" w:rsidRDefault="00D00C31" w:rsidP="00715B00">
      <w:pPr>
        <w:pStyle w:val="Tekstpodstawowy"/>
        <w:spacing w:line="252" w:lineRule="exact"/>
        <w:ind w:left="112" w:right="225"/>
        <w:jc w:val="both"/>
      </w:pPr>
      <w:r w:rsidRPr="00B33CD3">
        <w:rPr>
          <w:b/>
        </w:rPr>
        <w:t>Gwarant</w:t>
      </w:r>
      <w:r w:rsidRPr="00B33CD3">
        <w:t>: ………………………………………………………………………………………</w:t>
      </w:r>
    </w:p>
    <w:p w:rsidR="00B051D4" w:rsidRPr="00B33CD3" w:rsidRDefault="00D00C31" w:rsidP="00715B00">
      <w:pPr>
        <w:spacing w:line="252" w:lineRule="exact"/>
        <w:ind w:left="1246" w:right="225"/>
        <w:rPr>
          <w:i/>
        </w:rPr>
      </w:pPr>
      <w:r w:rsidRPr="00B33CD3">
        <w:rPr>
          <w:i/>
        </w:rPr>
        <w:t>(nazwa i adres, dane z KRS Wykonawcy realizującego przedmiot umowy z dnia)</w:t>
      </w:r>
    </w:p>
    <w:p w:rsidR="00B051D4" w:rsidRPr="00B33CD3" w:rsidRDefault="00B051D4" w:rsidP="00715B00">
      <w:pPr>
        <w:pStyle w:val="Tekstpodstawowy"/>
        <w:spacing w:before="10"/>
        <w:ind w:right="225"/>
        <w:rPr>
          <w:i/>
          <w:sz w:val="21"/>
        </w:rPr>
      </w:pPr>
    </w:p>
    <w:p w:rsidR="00B051D4" w:rsidRPr="00B33CD3" w:rsidRDefault="00D00C31" w:rsidP="00715B00">
      <w:pPr>
        <w:pStyle w:val="Nagwek1"/>
        <w:ind w:left="112" w:right="225"/>
        <w:jc w:val="both"/>
      </w:pPr>
      <w:r w:rsidRPr="00B33CD3">
        <w:t>Uprawniony z tytułu gwarancji:</w:t>
      </w:r>
    </w:p>
    <w:p w:rsidR="00B051D4" w:rsidRPr="00B33CD3" w:rsidRDefault="00B051D4" w:rsidP="00715B00">
      <w:pPr>
        <w:pStyle w:val="Tekstpodstawowy"/>
        <w:spacing w:before="1"/>
        <w:ind w:right="225"/>
        <w:rPr>
          <w:b/>
        </w:rPr>
      </w:pPr>
    </w:p>
    <w:p w:rsidR="00B33CD3" w:rsidRDefault="00B33CD3" w:rsidP="00715B00">
      <w:pPr>
        <w:pStyle w:val="Tekstpodstawowy"/>
        <w:tabs>
          <w:tab w:val="left" w:leader="dot" w:pos="3117"/>
        </w:tabs>
        <w:ind w:left="112" w:right="225"/>
        <w:jc w:val="both"/>
      </w:pPr>
      <w:r w:rsidRPr="00791746">
        <w:rPr>
          <w:b/>
        </w:rPr>
        <w:t>Inwestor:</w:t>
      </w:r>
      <w:r>
        <w:t xml:space="preserve"> </w:t>
      </w:r>
      <w:r w:rsidRPr="00B33CD3">
        <w:t>Powiat Turecki ul. Kaliska 59 62-700 Turek</w:t>
      </w:r>
      <w:r>
        <w:t xml:space="preserve"> woj. wielkopolskie</w:t>
      </w:r>
      <w:r w:rsidRPr="00B33CD3">
        <w:t>; NIP: 6681940189</w:t>
      </w:r>
      <w:r w:rsidR="00D00C31" w:rsidRPr="00B33CD3">
        <w:t xml:space="preserve">, </w:t>
      </w:r>
    </w:p>
    <w:p w:rsidR="00B33CD3" w:rsidRPr="00791746" w:rsidRDefault="00B74E59" w:rsidP="00715B00">
      <w:pPr>
        <w:pStyle w:val="Tekstpodstawowy"/>
        <w:tabs>
          <w:tab w:val="left" w:leader="dot" w:pos="3117"/>
        </w:tabs>
        <w:ind w:left="112" w:right="225"/>
        <w:jc w:val="both"/>
      </w:pPr>
      <w:r>
        <w:rPr>
          <w:b/>
        </w:rPr>
        <w:t xml:space="preserve">Lokalizacja inwestycji: </w:t>
      </w:r>
      <w:r w:rsidRPr="00791746">
        <w:t>Dom</w:t>
      </w:r>
      <w:r w:rsidR="00B33CD3" w:rsidRPr="00791746">
        <w:t xml:space="preserve"> Pomocy Społecznej</w:t>
      </w:r>
      <w:r w:rsidRPr="00791746">
        <w:t xml:space="preserve"> w Skęczniewie, </w:t>
      </w:r>
      <w:r w:rsidR="00B33CD3" w:rsidRPr="00791746">
        <w:t>Skęczniew 58</w:t>
      </w:r>
      <w:r w:rsidR="00791746">
        <w:t xml:space="preserve">, </w:t>
      </w:r>
      <w:r w:rsidR="00B33CD3" w:rsidRPr="00791746">
        <w:t>62-730 Dobra</w:t>
      </w:r>
    </w:p>
    <w:p w:rsidR="00B33CD3" w:rsidRDefault="00B33CD3" w:rsidP="00715B00">
      <w:pPr>
        <w:pStyle w:val="Tekstpodstawowy"/>
        <w:tabs>
          <w:tab w:val="left" w:leader="dot" w:pos="3117"/>
        </w:tabs>
        <w:ind w:left="112" w:right="225"/>
        <w:jc w:val="both"/>
      </w:pPr>
      <w:r w:rsidRPr="00B33CD3">
        <w:t xml:space="preserve">reprezentowanym przez: </w:t>
      </w:r>
    </w:p>
    <w:p w:rsidR="00791746" w:rsidRPr="00B33CD3" w:rsidRDefault="00791746" w:rsidP="00715B00">
      <w:pPr>
        <w:pStyle w:val="Tekstpodstawowy"/>
        <w:tabs>
          <w:tab w:val="left" w:leader="dot" w:pos="3117"/>
        </w:tabs>
        <w:ind w:left="112" w:right="225"/>
        <w:jc w:val="both"/>
      </w:pPr>
      <w:r>
        <w:t>Sylwię Kamińską – Tereszkiewicz - Dyrektora</w:t>
      </w:r>
    </w:p>
    <w:p w:rsidR="00B33CD3" w:rsidRPr="00B33CD3" w:rsidRDefault="00791746" w:rsidP="00715B00">
      <w:pPr>
        <w:pStyle w:val="Tekstpodstawowy"/>
        <w:tabs>
          <w:tab w:val="left" w:leader="dot" w:pos="3117"/>
          <w:tab w:val="left" w:pos="9899"/>
        </w:tabs>
        <w:ind w:right="225"/>
        <w:rPr>
          <w:b/>
        </w:rPr>
      </w:pPr>
      <w:r>
        <w:t xml:space="preserve">  dz</w:t>
      </w:r>
      <w:r w:rsidR="00B33CD3" w:rsidRPr="00B33CD3">
        <w:t>iałającą w imieniu Powiatu Tureckiego (jako jednostka budżetowa Powiatu Tureckiego)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</w:pPr>
      <w:r w:rsidRPr="00B33CD3">
        <w:t xml:space="preserve">zwanym dalej ,,Zamawiającym’’, 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</w:pPr>
      <w:r w:rsidRPr="00B33CD3">
        <w:t>a firmą: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</w:pPr>
      <w:r w:rsidRPr="00B33CD3">
        <w:t>…………………………………………………………………………………………………..……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  <w:jc w:val="both"/>
      </w:pPr>
      <w:r w:rsidRPr="00B33CD3">
        <w:t>z siedzibą w: ……………………………………………………………………………………………………….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  <w:rPr>
          <w:b/>
        </w:rPr>
      </w:pPr>
      <w:r w:rsidRPr="00B33CD3">
        <w:t>NIP:………………………………………...………..REGON:……………………………………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  <w:jc w:val="both"/>
        <w:rPr>
          <w:b/>
        </w:rPr>
      </w:pPr>
      <w:r w:rsidRPr="00B33CD3">
        <w:t>reprezentowaną przez: ………………………………………………………………………………………………………</w:t>
      </w:r>
    </w:p>
    <w:p w:rsidR="00B33CD3" w:rsidRPr="00B33CD3" w:rsidRDefault="00B33CD3" w:rsidP="00715B00">
      <w:pPr>
        <w:pStyle w:val="Tekstpodstawowy"/>
        <w:tabs>
          <w:tab w:val="left" w:leader="dot" w:pos="3117"/>
        </w:tabs>
        <w:ind w:left="112" w:right="225"/>
      </w:pPr>
      <w:r w:rsidRPr="00B33CD3">
        <w:t>zwaną dalej „Wykonawcą”</w:t>
      </w:r>
    </w:p>
    <w:p w:rsidR="00B33CD3" w:rsidRPr="00815263" w:rsidRDefault="00B33CD3" w:rsidP="00715B00">
      <w:pPr>
        <w:pStyle w:val="Tekstpodstawowy"/>
        <w:tabs>
          <w:tab w:val="left" w:leader="dot" w:pos="3117"/>
        </w:tabs>
        <w:ind w:left="112" w:right="225"/>
      </w:pPr>
      <w:r w:rsidRPr="00815263">
        <w:t>zawarta została umowa o następującej treści:</w:t>
      </w:r>
    </w:p>
    <w:p w:rsidR="00B051D4" w:rsidRPr="00815263" w:rsidRDefault="00B051D4" w:rsidP="00715B00">
      <w:pPr>
        <w:pStyle w:val="Tekstpodstawowy"/>
        <w:spacing w:before="4"/>
        <w:ind w:right="225"/>
      </w:pPr>
    </w:p>
    <w:p w:rsidR="00815263" w:rsidRPr="00815263" w:rsidRDefault="00D00C31" w:rsidP="00815263">
      <w:pPr>
        <w:pStyle w:val="Akapitzlist"/>
        <w:numPr>
          <w:ilvl w:val="0"/>
          <w:numId w:val="6"/>
        </w:numPr>
        <w:tabs>
          <w:tab w:val="left" w:pos="397"/>
        </w:tabs>
        <w:spacing w:line="259" w:lineRule="auto"/>
        <w:ind w:right="225"/>
        <w:rPr>
          <w:b/>
          <w:bCs/>
        </w:rPr>
      </w:pPr>
      <w:r w:rsidRPr="00815263">
        <w:rPr>
          <w:b/>
        </w:rPr>
        <w:t>Przedmiot</w:t>
      </w:r>
      <w:r w:rsidRPr="00815263">
        <w:rPr>
          <w:b/>
          <w:spacing w:val="-16"/>
        </w:rPr>
        <w:t xml:space="preserve"> </w:t>
      </w:r>
      <w:r w:rsidRPr="00815263">
        <w:rPr>
          <w:b/>
        </w:rPr>
        <w:t>karty</w:t>
      </w:r>
      <w:r w:rsidRPr="00815263">
        <w:rPr>
          <w:b/>
          <w:spacing w:val="-17"/>
        </w:rPr>
        <w:t xml:space="preserve"> </w:t>
      </w:r>
      <w:r w:rsidRPr="00815263">
        <w:rPr>
          <w:b/>
        </w:rPr>
        <w:t>gwarancyjnej:</w:t>
      </w:r>
      <w:r w:rsidRPr="00815263">
        <w:rPr>
          <w:b/>
          <w:spacing w:val="6"/>
        </w:rPr>
        <w:t xml:space="preserve"> </w:t>
      </w:r>
      <w:r w:rsidRPr="00815263">
        <w:t>przedmiot</w:t>
      </w:r>
      <w:r w:rsidRPr="00815263">
        <w:rPr>
          <w:spacing w:val="-15"/>
        </w:rPr>
        <w:t xml:space="preserve"> </w:t>
      </w:r>
      <w:r w:rsidRPr="00815263">
        <w:t>umowy</w:t>
      </w:r>
      <w:r w:rsidRPr="00815263">
        <w:rPr>
          <w:spacing w:val="-18"/>
        </w:rPr>
        <w:t xml:space="preserve"> </w:t>
      </w:r>
      <w:r w:rsidRPr="00815263">
        <w:t>z</w:t>
      </w:r>
      <w:r w:rsidRPr="00815263">
        <w:rPr>
          <w:spacing w:val="-15"/>
        </w:rPr>
        <w:t xml:space="preserve"> </w:t>
      </w:r>
      <w:r w:rsidRPr="00815263">
        <w:t>dnia</w:t>
      </w:r>
      <w:r w:rsidRPr="00815263">
        <w:rPr>
          <w:spacing w:val="-15"/>
        </w:rPr>
        <w:t xml:space="preserve"> </w:t>
      </w:r>
      <w:r w:rsidRPr="00815263">
        <w:t>…</w:t>
      </w:r>
      <w:r w:rsidR="00791746" w:rsidRPr="00815263">
        <w:t>………</w:t>
      </w:r>
      <w:r w:rsidRPr="00815263">
        <w:t>…..</w:t>
      </w:r>
      <w:r w:rsidRPr="00815263">
        <w:rPr>
          <w:spacing w:val="-15"/>
        </w:rPr>
        <w:t xml:space="preserve"> </w:t>
      </w:r>
      <w:r w:rsidRPr="00815263">
        <w:t>202</w:t>
      </w:r>
      <w:r w:rsidR="007C7907" w:rsidRPr="00815263">
        <w:t>3</w:t>
      </w:r>
      <w:r w:rsidRPr="00815263">
        <w:rPr>
          <w:spacing w:val="-15"/>
        </w:rPr>
        <w:t xml:space="preserve"> </w:t>
      </w:r>
      <w:r w:rsidRPr="00815263">
        <w:t>r.</w:t>
      </w:r>
      <w:r w:rsidRPr="00815263">
        <w:rPr>
          <w:spacing w:val="-15"/>
        </w:rPr>
        <w:t xml:space="preserve"> </w:t>
      </w:r>
      <w:r w:rsidRPr="00815263">
        <w:t>na</w:t>
      </w:r>
      <w:r w:rsidRPr="00815263">
        <w:rPr>
          <w:spacing w:val="-15"/>
        </w:rPr>
        <w:t xml:space="preserve"> </w:t>
      </w:r>
      <w:r w:rsidRPr="00815263">
        <w:t>realizację</w:t>
      </w:r>
      <w:r w:rsidRPr="00815263">
        <w:rPr>
          <w:spacing w:val="-15"/>
        </w:rPr>
        <w:t xml:space="preserve"> </w:t>
      </w:r>
      <w:r w:rsidRPr="00815263">
        <w:t>zadania</w:t>
      </w:r>
      <w:r w:rsidRPr="00815263">
        <w:rPr>
          <w:spacing w:val="-15"/>
        </w:rPr>
        <w:t xml:space="preserve"> </w:t>
      </w:r>
      <w:r w:rsidRPr="00815263">
        <w:t>pn.:</w:t>
      </w:r>
      <w:r w:rsidR="00FA08A8" w:rsidRPr="00815263">
        <w:t xml:space="preserve"> </w:t>
      </w:r>
      <w:r w:rsidR="00815263" w:rsidRPr="00815263">
        <w:rPr>
          <w:b/>
          <w:bCs/>
        </w:rPr>
        <w:t xml:space="preserve">Termomodernizacja i montaż instalacji fotowoltaicznej w DPS w Skęczniewie cz. II </w:t>
      </w:r>
    </w:p>
    <w:p w:rsidR="00FA08A8" w:rsidRPr="00815263" w:rsidRDefault="00815263" w:rsidP="00815263">
      <w:pPr>
        <w:pStyle w:val="Akapitzlist"/>
        <w:tabs>
          <w:tab w:val="left" w:pos="397"/>
        </w:tabs>
        <w:spacing w:line="259" w:lineRule="auto"/>
        <w:ind w:left="396" w:right="225" w:firstLine="0"/>
        <w:rPr>
          <w:b/>
          <w:bCs/>
        </w:rPr>
      </w:pPr>
      <w:r w:rsidRPr="00815263">
        <w:rPr>
          <w:b/>
          <w:bCs/>
        </w:rPr>
        <w:t>- w zakresie: „Instalacja fotowoltaiczna EPV3+EPV4+EPV5 na konstrukcji montażowej wolnostojącej na gruncie”</w:t>
      </w:r>
    </w:p>
    <w:p w:rsidR="00791746" w:rsidRPr="00815263" w:rsidRDefault="00791746" w:rsidP="00715B00">
      <w:pPr>
        <w:pStyle w:val="Akapitzlist"/>
        <w:tabs>
          <w:tab w:val="left" w:pos="397"/>
        </w:tabs>
        <w:spacing w:line="259" w:lineRule="auto"/>
        <w:ind w:left="396" w:right="225" w:firstLine="0"/>
        <w:jc w:val="left"/>
      </w:pPr>
    </w:p>
    <w:p w:rsidR="00B051D4" w:rsidRPr="00815263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line="250" w:lineRule="exact"/>
        <w:ind w:right="225" w:hanging="285"/>
        <w:jc w:val="both"/>
      </w:pPr>
      <w:r w:rsidRPr="00815263">
        <w:t>Data podpisania Protokołu końcowego odbioru robót:</w:t>
      </w:r>
      <w:r w:rsidRPr="00815263">
        <w:rPr>
          <w:spacing w:val="37"/>
        </w:rPr>
        <w:t xml:space="preserve"> </w:t>
      </w:r>
      <w:r w:rsidRPr="00815263">
        <w:t>…………………………………..</w:t>
      </w:r>
    </w:p>
    <w:p w:rsidR="00B051D4" w:rsidRPr="00815263" w:rsidRDefault="00B051D4" w:rsidP="00715B00">
      <w:pPr>
        <w:pStyle w:val="Tekstpodstawowy"/>
        <w:spacing w:before="9"/>
        <w:ind w:right="225"/>
        <w:rPr>
          <w:sz w:val="23"/>
        </w:rPr>
      </w:pPr>
    </w:p>
    <w:p w:rsidR="00B051D4" w:rsidRPr="00815263" w:rsidRDefault="00D00C31" w:rsidP="00715B00">
      <w:pPr>
        <w:pStyle w:val="Akapitzlist"/>
        <w:numPr>
          <w:ilvl w:val="0"/>
          <w:numId w:val="6"/>
        </w:numPr>
        <w:tabs>
          <w:tab w:val="left" w:pos="397"/>
          <w:tab w:val="left" w:leader="dot" w:pos="3407"/>
        </w:tabs>
        <w:spacing w:before="21" w:line="252" w:lineRule="exact"/>
        <w:ind w:right="225"/>
      </w:pPr>
      <w:r w:rsidRPr="00815263">
        <w:t>Gwarant oświadcza i zapewnia Zamawiającego, że objęty niniejszą Kartą gwarancyjną przedmiot umowy wykonany został zgodnie z umową</w:t>
      </w:r>
      <w:r w:rsidRPr="00815263">
        <w:rPr>
          <w:spacing w:val="15"/>
        </w:rPr>
        <w:t xml:space="preserve"> </w:t>
      </w:r>
      <w:r w:rsidRPr="00815263">
        <w:t>z</w:t>
      </w:r>
      <w:r w:rsidRPr="00815263">
        <w:rPr>
          <w:spacing w:val="3"/>
        </w:rPr>
        <w:t xml:space="preserve"> </w:t>
      </w:r>
      <w:r w:rsidRPr="00815263">
        <w:t>dnia</w:t>
      </w:r>
      <w:r w:rsidR="00963F5C" w:rsidRPr="00815263">
        <w:t xml:space="preserve"> </w:t>
      </w:r>
      <w:r w:rsidR="00791746" w:rsidRPr="00815263">
        <w:t>…………</w:t>
      </w:r>
      <w:r w:rsidR="00963F5C" w:rsidRPr="00815263">
        <w:t>…</w:t>
      </w:r>
      <w:r w:rsidR="00791746" w:rsidRPr="00815263">
        <w:t>.</w:t>
      </w:r>
      <w:r w:rsidRPr="00815263">
        <w:tab/>
        <w:t>202</w:t>
      </w:r>
      <w:r w:rsidR="007C7907" w:rsidRPr="00815263">
        <w:t>3</w:t>
      </w:r>
      <w:r w:rsidRPr="00815263">
        <w:t xml:space="preserve"> r. a wykonane, wbudowane lub zamontowane wyroby posiadają</w:t>
      </w:r>
      <w:r w:rsidRPr="00815263">
        <w:rPr>
          <w:spacing w:val="19"/>
        </w:rPr>
        <w:t xml:space="preserve"> </w:t>
      </w:r>
      <w:r w:rsidRPr="00815263">
        <w:t>najwyższą</w:t>
      </w:r>
      <w:r w:rsidR="00791746" w:rsidRPr="00815263">
        <w:t xml:space="preserve"> </w:t>
      </w:r>
      <w:r w:rsidRPr="00815263">
        <w:t>jakość ocenianą zgodnie z charakterem danego wyrobu i ocenianą na podstawie jakości ocenianej przez producenta</w:t>
      </w:r>
      <w:r w:rsidR="00963F5C" w:rsidRPr="00815263">
        <w:t xml:space="preserve"> </w:t>
      </w:r>
      <w:r w:rsidRPr="00815263">
        <w:t>danego wyrobu.</w:t>
      </w:r>
    </w:p>
    <w:p w:rsidR="00B051D4" w:rsidRPr="00815263" w:rsidRDefault="00B051D4" w:rsidP="00715B00">
      <w:pPr>
        <w:pStyle w:val="Tekstpodstawowy"/>
        <w:spacing w:before="4"/>
        <w:ind w:right="225"/>
        <w:rPr>
          <w:sz w:val="23"/>
        </w:rPr>
      </w:pPr>
    </w:p>
    <w:p w:rsidR="00B051D4" w:rsidRPr="00815263" w:rsidRDefault="00D00C31" w:rsidP="00715B00">
      <w:pPr>
        <w:pStyle w:val="Tekstpodstawowy"/>
        <w:spacing w:before="1"/>
        <w:ind w:left="396" w:right="225"/>
      </w:pPr>
      <w:r w:rsidRPr="00815263">
        <w:t>Za „wyrób” Strony niniejszej gwarancji uznają wszelkie elementy robót i materiałów wykonanych, wbudowanych lub</w:t>
      </w:r>
      <w:r w:rsidR="00791746" w:rsidRPr="00815263">
        <w:t xml:space="preserve"> </w:t>
      </w:r>
      <w:r w:rsidRPr="00815263">
        <w:t>zamontowanych w ramach realizacji przedmiotu umowy.</w:t>
      </w:r>
    </w:p>
    <w:p w:rsidR="00B051D4" w:rsidRPr="00815263" w:rsidRDefault="00B051D4" w:rsidP="00715B00">
      <w:pPr>
        <w:pStyle w:val="Tekstpodstawowy"/>
        <w:spacing w:before="1"/>
        <w:ind w:right="225"/>
      </w:pPr>
    </w:p>
    <w:p w:rsidR="00B051D4" w:rsidRPr="00815263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line="259" w:lineRule="auto"/>
        <w:ind w:right="225"/>
        <w:jc w:val="both"/>
      </w:pPr>
      <w:r w:rsidRPr="00815263">
        <w:t>Gwarant oświadcza i zapewnia, że przedmiot umowy został wykonany z wyrobów wbudowanych lub zamontowanych prawidłowo</w:t>
      </w:r>
      <w:r w:rsidRPr="00815263">
        <w:rPr>
          <w:spacing w:val="-11"/>
        </w:rPr>
        <w:t xml:space="preserve"> </w:t>
      </w:r>
      <w:r w:rsidRPr="00815263">
        <w:t>zgodnie</w:t>
      </w:r>
      <w:r w:rsidRPr="00815263">
        <w:rPr>
          <w:spacing w:val="-11"/>
        </w:rPr>
        <w:t xml:space="preserve"> </w:t>
      </w:r>
      <w:r w:rsidRPr="00815263">
        <w:t>ze</w:t>
      </w:r>
      <w:r w:rsidRPr="00815263">
        <w:rPr>
          <w:spacing w:val="-11"/>
        </w:rPr>
        <w:t xml:space="preserve"> </w:t>
      </w:r>
      <w:r w:rsidRPr="00815263">
        <w:t>sztuką</w:t>
      </w:r>
      <w:r w:rsidRPr="00815263">
        <w:rPr>
          <w:spacing w:val="-14"/>
        </w:rPr>
        <w:t xml:space="preserve"> </w:t>
      </w:r>
      <w:r w:rsidRPr="00815263">
        <w:t>budowlaną,</w:t>
      </w:r>
      <w:r w:rsidRPr="00815263">
        <w:rPr>
          <w:spacing w:val="-11"/>
        </w:rPr>
        <w:t xml:space="preserve"> </w:t>
      </w:r>
      <w:r w:rsidRPr="00815263">
        <w:t>obowiązującymi</w:t>
      </w:r>
      <w:r w:rsidRPr="00815263">
        <w:rPr>
          <w:spacing w:val="-11"/>
        </w:rPr>
        <w:t xml:space="preserve"> </w:t>
      </w:r>
      <w:r w:rsidRPr="00815263">
        <w:t>przepisami</w:t>
      </w:r>
      <w:r w:rsidRPr="00815263">
        <w:rPr>
          <w:spacing w:val="-11"/>
        </w:rPr>
        <w:t xml:space="preserve"> </w:t>
      </w:r>
      <w:r w:rsidRPr="00815263">
        <w:t>w</w:t>
      </w:r>
      <w:r w:rsidRPr="00815263">
        <w:rPr>
          <w:spacing w:val="-8"/>
        </w:rPr>
        <w:t xml:space="preserve"> </w:t>
      </w:r>
      <w:r w:rsidRPr="00815263">
        <w:t>budownictwie</w:t>
      </w:r>
      <w:r w:rsidRPr="00815263">
        <w:rPr>
          <w:spacing w:val="-11"/>
        </w:rPr>
        <w:t xml:space="preserve"> </w:t>
      </w:r>
      <w:r w:rsidRPr="00815263">
        <w:t>oraz</w:t>
      </w:r>
      <w:r w:rsidRPr="00815263">
        <w:rPr>
          <w:spacing w:val="-11"/>
        </w:rPr>
        <w:t xml:space="preserve"> </w:t>
      </w:r>
      <w:r w:rsidRPr="00815263">
        <w:t>zgodnie</w:t>
      </w:r>
      <w:r w:rsidRPr="00815263">
        <w:rPr>
          <w:spacing w:val="-11"/>
        </w:rPr>
        <w:t xml:space="preserve"> </w:t>
      </w:r>
      <w:r w:rsidRPr="00815263">
        <w:t>z</w:t>
      </w:r>
      <w:r w:rsidRPr="00815263">
        <w:rPr>
          <w:spacing w:val="-11"/>
        </w:rPr>
        <w:t xml:space="preserve"> </w:t>
      </w:r>
      <w:r w:rsidRPr="00815263">
        <w:t>najlepszą</w:t>
      </w:r>
      <w:r w:rsidRPr="00815263">
        <w:rPr>
          <w:spacing w:val="-11"/>
        </w:rPr>
        <w:t xml:space="preserve"> </w:t>
      </w:r>
      <w:r w:rsidRPr="00815263">
        <w:t>wiedzą Gwaranta.</w:t>
      </w:r>
    </w:p>
    <w:p w:rsidR="00B051D4" w:rsidRPr="00815263" w:rsidRDefault="00B051D4" w:rsidP="00715B00">
      <w:pPr>
        <w:pStyle w:val="Tekstpodstawowy"/>
        <w:ind w:right="225"/>
      </w:pPr>
    </w:p>
    <w:p w:rsidR="00B051D4" w:rsidRPr="00B33CD3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line="259" w:lineRule="auto"/>
        <w:ind w:right="225"/>
        <w:jc w:val="both"/>
        <w:rPr>
          <w:color w:val="FF0000"/>
        </w:rPr>
      </w:pPr>
      <w:r w:rsidRPr="00815263">
        <w:t>P</w:t>
      </w:r>
      <w:r w:rsidRPr="00791746">
        <w:t>oprzez niniejszą gwarancję Gwarant przyjmuje na siebie wszelką odpowiedzialność za wykonany przedmiot umowy, w tym za wyroby wykonane, wbudowane lub zamontowane w ramach realizacji przedmiotu umowy, w tym także za elementy przedmiotu umowy zrealizowane przez działających na ryzyko i odpowiedzialność Gwaranta jego podwykonawców</w:t>
      </w:r>
      <w:r w:rsidRPr="00B33CD3">
        <w:rPr>
          <w:color w:val="FF0000"/>
        </w:rPr>
        <w:t>.</w:t>
      </w:r>
    </w:p>
    <w:p w:rsidR="00B051D4" w:rsidRPr="00791746" w:rsidRDefault="00B051D4" w:rsidP="00715B00">
      <w:pPr>
        <w:pStyle w:val="Tekstpodstawowy"/>
        <w:spacing w:before="9"/>
        <w:ind w:right="225"/>
        <w:rPr>
          <w:sz w:val="21"/>
        </w:rPr>
      </w:pPr>
    </w:p>
    <w:p w:rsidR="00B051D4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ind w:right="225" w:hanging="285"/>
        <w:jc w:val="both"/>
      </w:pPr>
      <w:r w:rsidRPr="00791746">
        <w:t>Gwarant jest odpowiedzialny wobec Zamawiającego za realizację wszystkich zobowiązań opisanych w pkt.</w:t>
      </w:r>
      <w:r w:rsidRPr="00791746">
        <w:rPr>
          <w:spacing w:val="-35"/>
        </w:rPr>
        <w:t xml:space="preserve"> </w:t>
      </w:r>
      <w:r w:rsidRPr="00791746">
        <w:t>poniżej.</w:t>
      </w:r>
    </w:p>
    <w:p w:rsidR="00715B00" w:rsidRDefault="00715B00" w:rsidP="00715B00">
      <w:pPr>
        <w:pStyle w:val="Akapitzlist"/>
        <w:ind w:right="225"/>
      </w:pPr>
    </w:p>
    <w:p w:rsidR="00B051D4" w:rsidRPr="00FA08A8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line="259" w:lineRule="auto"/>
        <w:ind w:right="225"/>
        <w:jc w:val="both"/>
      </w:pPr>
      <w:r w:rsidRPr="00FA08A8">
        <w:t xml:space="preserve">Okres gwarancji i rękojmi dla przedmiotu umowy z dnia ………. wynosi …… miesięcy od daty </w:t>
      </w:r>
      <w:r w:rsidRPr="00FA08A8">
        <w:lastRenderedPageBreak/>
        <w:t>podpisania Protokołu końcowego</w:t>
      </w:r>
      <w:r w:rsidRPr="00FA08A8">
        <w:rPr>
          <w:spacing w:val="-9"/>
        </w:rPr>
        <w:t xml:space="preserve"> </w:t>
      </w:r>
      <w:r w:rsidRPr="00FA08A8">
        <w:t>odbioru</w:t>
      </w:r>
      <w:r w:rsidRPr="00FA08A8">
        <w:rPr>
          <w:spacing w:val="-10"/>
        </w:rPr>
        <w:t xml:space="preserve"> </w:t>
      </w:r>
      <w:r w:rsidRPr="00FA08A8">
        <w:t>robót,</w:t>
      </w:r>
      <w:r w:rsidRPr="00FA08A8">
        <w:rPr>
          <w:spacing w:val="-11"/>
        </w:rPr>
        <w:t xml:space="preserve"> </w:t>
      </w:r>
      <w:r w:rsidRPr="00FA08A8">
        <w:t>z</w:t>
      </w:r>
      <w:r w:rsidRPr="00FA08A8">
        <w:rPr>
          <w:spacing w:val="-10"/>
        </w:rPr>
        <w:t xml:space="preserve"> </w:t>
      </w:r>
      <w:r w:rsidRPr="00FA08A8">
        <w:t>wyłączeniem</w:t>
      </w:r>
      <w:r w:rsidRPr="00FA08A8">
        <w:rPr>
          <w:spacing w:val="-11"/>
        </w:rPr>
        <w:t xml:space="preserve"> </w:t>
      </w:r>
      <w:r w:rsidRPr="00FA08A8">
        <w:t>modułów</w:t>
      </w:r>
      <w:r w:rsidRPr="00FA08A8">
        <w:rPr>
          <w:spacing w:val="-9"/>
        </w:rPr>
        <w:t xml:space="preserve"> </w:t>
      </w:r>
      <w:r w:rsidRPr="00FA08A8">
        <w:t>fotowoltaicznych,</w:t>
      </w:r>
      <w:r w:rsidRPr="00FA08A8">
        <w:rPr>
          <w:spacing w:val="-11"/>
        </w:rPr>
        <w:t xml:space="preserve"> </w:t>
      </w:r>
      <w:r w:rsidRPr="00FA08A8">
        <w:t>dla</w:t>
      </w:r>
      <w:r w:rsidRPr="00FA08A8">
        <w:rPr>
          <w:spacing w:val="-10"/>
        </w:rPr>
        <w:t xml:space="preserve"> </w:t>
      </w:r>
      <w:r w:rsidRPr="00FA08A8">
        <w:t>których</w:t>
      </w:r>
      <w:r w:rsidRPr="00FA08A8">
        <w:rPr>
          <w:spacing w:val="-11"/>
        </w:rPr>
        <w:t xml:space="preserve"> </w:t>
      </w:r>
      <w:r w:rsidRPr="00FA08A8">
        <w:t>Gwarant</w:t>
      </w:r>
      <w:r w:rsidRPr="00FA08A8">
        <w:rPr>
          <w:spacing w:val="-10"/>
        </w:rPr>
        <w:t xml:space="preserve"> </w:t>
      </w:r>
      <w:r w:rsidRPr="00FA08A8">
        <w:t>zapewnia</w:t>
      </w:r>
      <w:r w:rsidRPr="00FA08A8">
        <w:rPr>
          <w:spacing w:val="-10"/>
        </w:rPr>
        <w:t xml:space="preserve"> </w:t>
      </w:r>
      <w:r w:rsidRPr="00FA08A8">
        <w:t>25</w:t>
      </w:r>
      <w:r w:rsidRPr="00FA08A8">
        <w:rPr>
          <w:spacing w:val="-9"/>
        </w:rPr>
        <w:t xml:space="preserve"> </w:t>
      </w:r>
      <w:r w:rsidRPr="00FA08A8">
        <w:t>letnią</w:t>
      </w:r>
      <w:r w:rsidRPr="00FA08A8">
        <w:rPr>
          <w:spacing w:val="-10"/>
        </w:rPr>
        <w:t xml:space="preserve"> </w:t>
      </w:r>
      <w:r w:rsidRPr="00FA08A8">
        <w:t>gwarancję liniowego spadku wydajności, zgodnie z wymaganiami i parametrami technicznymi określonymi w</w:t>
      </w:r>
      <w:r w:rsidRPr="00FA08A8">
        <w:rPr>
          <w:spacing w:val="-21"/>
        </w:rPr>
        <w:t xml:space="preserve"> </w:t>
      </w:r>
      <w:r w:rsidRPr="00FA08A8">
        <w:t>STWIOR</w:t>
      </w:r>
      <w:r w:rsidR="007C7907">
        <w:t>B</w:t>
      </w:r>
      <w:r w:rsidR="00BE11C6">
        <w:t xml:space="preserve"> i projek</w:t>
      </w:r>
      <w:r w:rsidR="00815263">
        <w:t xml:space="preserve">tach </w:t>
      </w:r>
      <w:r w:rsidR="00BE11C6">
        <w:t>techniczny</w:t>
      </w:r>
      <w:r w:rsidR="00815263">
        <w:t>ch</w:t>
      </w:r>
      <w:bookmarkStart w:id="0" w:name="_GoBack"/>
      <w:bookmarkEnd w:id="0"/>
      <w:r w:rsidRPr="00FA08A8">
        <w:t>.</w:t>
      </w:r>
    </w:p>
    <w:p w:rsidR="00B051D4" w:rsidRPr="00791746" w:rsidRDefault="00B051D4" w:rsidP="00715B00">
      <w:pPr>
        <w:pStyle w:val="Tekstpodstawowy"/>
        <w:spacing w:before="3"/>
        <w:ind w:right="225"/>
        <w:rPr>
          <w:sz w:val="13"/>
        </w:rPr>
      </w:pPr>
    </w:p>
    <w:p w:rsidR="0077326A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before="100" w:line="259" w:lineRule="auto"/>
        <w:ind w:right="225"/>
        <w:jc w:val="both"/>
      </w:pPr>
      <w:r w:rsidRPr="00791746">
        <w:t>Jeżeli warunki gwarancji udzielonej przez producenta materiałów i urządzeń przewidują krótszy okres gwarancji niż udzielona przez Gwaranta – obowiązuje okres gwarancji w wymiarze równym okresowi gwarancji Gwaranta. Gwarant upoważnia Zamawiającego do wykonywania uprawnień z gwarancji przysługującej Gwarantowi wobec producentów wyrobów, w tym</w:t>
      </w:r>
      <w:r w:rsidRPr="00791746">
        <w:rPr>
          <w:spacing w:val="-4"/>
        </w:rPr>
        <w:t xml:space="preserve"> </w:t>
      </w:r>
      <w:r w:rsidRPr="00791746">
        <w:t>materiałów.</w:t>
      </w:r>
    </w:p>
    <w:p w:rsidR="0077326A" w:rsidRPr="0077326A" w:rsidRDefault="0077326A" w:rsidP="00715B00">
      <w:pPr>
        <w:pStyle w:val="Akapitzlist"/>
        <w:ind w:right="225"/>
        <w:rPr>
          <w:color w:val="FF0000"/>
        </w:rPr>
      </w:pPr>
    </w:p>
    <w:p w:rsidR="00B051D4" w:rsidRPr="002862EA" w:rsidRDefault="00D00C31" w:rsidP="00715B00">
      <w:pPr>
        <w:pStyle w:val="Akapitzlist"/>
        <w:numPr>
          <w:ilvl w:val="0"/>
          <w:numId w:val="6"/>
        </w:numPr>
        <w:tabs>
          <w:tab w:val="left" w:pos="397"/>
        </w:tabs>
        <w:spacing w:before="100" w:line="211" w:lineRule="exact"/>
        <w:ind w:right="225"/>
        <w:jc w:val="both"/>
      </w:pPr>
      <w:r w:rsidRPr="002862EA">
        <w:t>Ilekroć</w:t>
      </w:r>
      <w:r w:rsidRPr="002862EA">
        <w:rPr>
          <w:spacing w:val="28"/>
        </w:rPr>
        <w:t xml:space="preserve"> </w:t>
      </w:r>
      <w:r w:rsidRPr="002862EA">
        <w:t>w</w:t>
      </w:r>
      <w:r w:rsidRPr="002862EA">
        <w:rPr>
          <w:spacing w:val="28"/>
        </w:rPr>
        <w:t xml:space="preserve"> </w:t>
      </w:r>
      <w:r w:rsidRPr="002862EA">
        <w:t>niniejszej</w:t>
      </w:r>
      <w:r w:rsidRPr="002862EA">
        <w:rPr>
          <w:spacing w:val="29"/>
        </w:rPr>
        <w:t xml:space="preserve"> </w:t>
      </w:r>
      <w:r w:rsidRPr="002862EA">
        <w:t>Karcie</w:t>
      </w:r>
      <w:r w:rsidRPr="002862EA">
        <w:rPr>
          <w:spacing w:val="26"/>
        </w:rPr>
        <w:t xml:space="preserve"> </w:t>
      </w:r>
      <w:r w:rsidRPr="002862EA">
        <w:t>Gwarancyjnej</w:t>
      </w:r>
      <w:r w:rsidRPr="002862EA">
        <w:rPr>
          <w:spacing w:val="29"/>
        </w:rPr>
        <w:t xml:space="preserve"> </w:t>
      </w:r>
      <w:r w:rsidRPr="002862EA">
        <w:t>jest</w:t>
      </w:r>
      <w:r w:rsidRPr="002862EA">
        <w:rPr>
          <w:spacing w:val="29"/>
        </w:rPr>
        <w:t xml:space="preserve"> </w:t>
      </w:r>
      <w:r w:rsidRPr="002862EA">
        <w:t>mowa</w:t>
      </w:r>
      <w:r w:rsidRPr="002862EA">
        <w:rPr>
          <w:spacing w:val="28"/>
        </w:rPr>
        <w:t xml:space="preserve"> </w:t>
      </w:r>
      <w:r w:rsidRPr="002862EA">
        <w:t>o</w:t>
      </w:r>
      <w:r w:rsidRPr="002862EA">
        <w:rPr>
          <w:spacing w:val="29"/>
        </w:rPr>
        <w:t xml:space="preserve"> </w:t>
      </w:r>
      <w:r w:rsidRPr="002862EA">
        <w:t>Wadzie</w:t>
      </w:r>
      <w:r w:rsidRPr="002862EA">
        <w:rPr>
          <w:spacing w:val="28"/>
        </w:rPr>
        <w:t xml:space="preserve"> </w:t>
      </w:r>
      <w:r w:rsidRPr="002862EA">
        <w:t>należy</w:t>
      </w:r>
      <w:r w:rsidRPr="002862EA">
        <w:rPr>
          <w:spacing w:val="29"/>
        </w:rPr>
        <w:t xml:space="preserve"> </w:t>
      </w:r>
      <w:r w:rsidRPr="002862EA">
        <w:t>przez</w:t>
      </w:r>
      <w:r w:rsidRPr="002862EA">
        <w:rPr>
          <w:spacing w:val="30"/>
        </w:rPr>
        <w:t xml:space="preserve"> </w:t>
      </w:r>
      <w:r w:rsidRPr="002862EA">
        <w:t>to</w:t>
      </w:r>
      <w:r w:rsidRPr="002862EA">
        <w:rPr>
          <w:spacing w:val="29"/>
        </w:rPr>
        <w:t xml:space="preserve"> </w:t>
      </w:r>
      <w:r w:rsidRPr="002862EA">
        <w:t>rozumieć</w:t>
      </w:r>
      <w:r w:rsidRPr="002862EA">
        <w:rPr>
          <w:spacing w:val="29"/>
        </w:rPr>
        <w:t xml:space="preserve"> </w:t>
      </w:r>
      <w:r w:rsidRPr="002862EA">
        <w:t>wadę,</w:t>
      </w:r>
      <w:r w:rsidRPr="002862EA">
        <w:rPr>
          <w:spacing w:val="29"/>
        </w:rPr>
        <w:t xml:space="preserve"> </w:t>
      </w:r>
      <w:r w:rsidR="00AE0E55">
        <w:rPr>
          <w:spacing w:val="29"/>
        </w:rPr>
        <w:t>k</w:t>
      </w:r>
      <w:r w:rsidRPr="002862EA">
        <w:t>tóra ujawniła się w okresie gwarancji w zastosowanym wyrobie wykonanym,</w:t>
      </w:r>
      <w:r w:rsidR="0077326A" w:rsidRPr="002862EA">
        <w:t xml:space="preserve"> </w:t>
      </w:r>
      <w:r w:rsidRPr="002862EA">
        <w:t>wbudowanym bądź zamontowanym przez Gwaranta.</w:t>
      </w:r>
    </w:p>
    <w:p w:rsidR="00B051D4" w:rsidRPr="002862EA" w:rsidRDefault="00B051D4" w:rsidP="00715B00">
      <w:pPr>
        <w:ind w:right="225"/>
      </w:pPr>
    </w:p>
    <w:p w:rsidR="00B051D4" w:rsidRPr="002862EA" w:rsidRDefault="00815263" w:rsidP="00715B00">
      <w:pPr>
        <w:pStyle w:val="Akapitzlist"/>
        <w:numPr>
          <w:ilvl w:val="0"/>
          <w:numId w:val="6"/>
        </w:numPr>
        <w:tabs>
          <w:tab w:val="left" w:pos="541"/>
        </w:tabs>
        <w:spacing w:before="92"/>
        <w:ind w:left="540" w:right="225" w:hanging="429"/>
      </w:pPr>
      <w:r>
        <w:pict>
          <v:rect id="_x0000_s1028" style="position:absolute;left:0;text-align:left;margin-left:529.65pt;margin-top:739.2pt;width:61.2pt;height:.5pt;z-index:15729152;mso-position-horizontal-relative:page;mso-position-vertical-relative:page" fillcolor="#d7d7d7" stroked="f">
            <w10:wrap anchorx="page" anchory="page"/>
          </v:rect>
        </w:pict>
      </w:r>
      <w:r w:rsidR="00D00C31" w:rsidRPr="002862EA">
        <w:t>Wada oznacza</w:t>
      </w:r>
      <w:r w:rsidR="00D00C31" w:rsidRPr="002862EA">
        <w:rPr>
          <w:spacing w:val="-1"/>
        </w:rPr>
        <w:t xml:space="preserve"> </w:t>
      </w:r>
      <w:r w:rsidR="00D00C31" w:rsidRPr="002862EA">
        <w:t>również: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9"/>
        <w:ind w:right="225" w:hanging="361"/>
        <w:jc w:val="left"/>
      </w:pPr>
      <w:r w:rsidRPr="002862EA">
        <w:t>jawne</w:t>
      </w:r>
      <w:r w:rsidRPr="002862EA">
        <w:rPr>
          <w:spacing w:val="-5"/>
        </w:rPr>
        <w:t xml:space="preserve"> </w:t>
      </w:r>
      <w:r w:rsidRPr="002862EA">
        <w:t>lub</w:t>
      </w:r>
      <w:r w:rsidRPr="002862EA">
        <w:rPr>
          <w:spacing w:val="-5"/>
        </w:rPr>
        <w:t xml:space="preserve"> </w:t>
      </w:r>
      <w:r w:rsidRPr="002862EA">
        <w:t>ukryte</w:t>
      </w:r>
      <w:r w:rsidRPr="002862EA">
        <w:rPr>
          <w:spacing w:val="-4"/>
        </w:rPr>
        <w:t xml:space="preserve"> </w:t>
      </w:r>
      <w:r w:rsidRPr="002862EA">
        <w:t>właściwości</w:t>
      </w:r>
      <w:r w:rsidRPr="002862EA">
        <w:rPr>
          <w:spacing w:val="-4"/>
        </w:rPr>
        <w:t xml:space="preserve"> </w:t>
      </w:r>
      <w:r w:rsidRPr="002862EA">
        <w:t>tkwiące</w:t>
      </w:r>
      <w:r w:rsidRPr="002862EA">
        <w:rPr>
          <w:spacing w:val="-5"/>
        </w:rPr>
        <w:t xml:space="preserve"> </w:t>
      </w:r>
      <w:r w:rsidRPr="002862EA">
        <w:t>w</w:t>
      </w:r>
      <w:r w:rsidRPr="002862EA">
        <w:rPr>
          <w:spacing w:val="-6"/>
        </w:rPr>
        <w:t xml:space="preserve"> </w:t>
      </w:r>
      <w:r w:rsidRPr="002862EA">
        <w:t>wyrobie</w:t>
      </w:r>
      <w:r w:rsidRPr="002862EA">
        <w:rPr>
          <w:spacing w:val="-4"/>
        </w:rPr>
        <w:t xml:space="preserve"> </w:t>
      </w:r>
      <w:r w:rsidRPr="002862EA">
        <w:t>powodujące</w:t>
      </w:r>
      <w:r w:rsidRPr="002862EA">
        <w:rPr>
          <w:spacing w:val="-3"/>
        </w:rPr>
        <w:t xml:space="preserve"> </w:t>
      </w:r>
      <w:r w:rsidRPr="002862EA">
        <w:t>niemożność</w:t>
      </w:r>
      <w:r w:rsidRPr="002862EA">
        <w:rPr>
          <w:spacing w:val="-4"/>
        </w:rPr>
        <w:t xml:space="preserve"> </w:t>
      </w:r>
      <w:r w:rsidRPr="002862EA">
        <w:t>używania</w:t>
      </w:r>
      <w:r w:rsidRPr="002862EA">
        <w:rPr>
          <w:spacing w:val="-5"/>
        </w:rPr>
        <w:t xml:space="preserve"> </w:t>
      </w:r>
      <w:r w:rsidRPr="002862EA">
        <w:t>lub</w:t>
      </w:r>
      <w:r w:rsidRPr="002862EA">
        <w:rPr>
          <w:spacing w:val="-5"/>
        </w:rPr>
        <w:t xml:space="preserve"> </w:t>
      </w:r>
      <w:r w:rsidRPr="002862EA">
        <w:t>korzystania</w:t>
      </w:r>
      <w:r w:rsidRPr="002862EA">
        <w:rPr>
          <w:spacing w:val="-5"/>
        </w:rPr>
        <w:t xml:space="preserve"> </w:t>
      </w:r>
      <w:r w:rsidRPr="002862EA">
        <w:t>z</w:t>
      </w:r>
      <w:r w:rsidRPr="002862EA">
        <w:rPr>
          <w:spacing w:val="-4"/>
        </w:rPr>
        <w:t xml:space="preserve"> </w:t>
      </w:r>
      <w:r w:rsidRPr="002862EA">
        <w:t>nich</w:t>
      </w:r>
      <w:r w:rsidRPr="002862EA">
        <w:rPr>
          <w:spacing w:val="-6"/>
        </w:rPr>
        <w:t xml:space="preserve"> </w:t>
      </w:r>
      <w:r w:rsidRPr="002862EA">
        <w:t>zgodnie</w:t>
      </w:r>
      <w:r w:rsidR="002862EA" w:rsidRPr="002862EA">
        <w:t xml:space="preserve"> </w:t>
      </w:r>
      <w:r w:rsidRPr="002862EA">
        <w:t>z ich przeznaczeniem 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8" w:line="256" w:lineRule="auto"/>
        <w:ind w:right="225"/>
        <w:jc w:val="left"/>
      </w:pPr>
      <w:r w:rsidRPr="002862EA">
        <w:t>niezgodność</w:t>
      </w:r>
      <w:r w:rsidRPr="002862EA">
        <w:rPr>
          <w:spacing w:val="-7"/>
        </w:rPr>
        <w:t xml:space="preserve"> </w:t>
      </w:r>
      <w:r w:rsidRPr="002862EA">
        <w:t>wykonania,</w:t>
      </w:r>
      <w:r w:rsidRPr="002862EA">
        <w:rPr>
          <w:spacing w:val="-7"/>
        </w:rPr>
        <w:t xml:space="preserve"> </w:t>
      </w:r>
      <w:r w:rsidRPr="002862EA">
        <w:t>wbudowania</w:t>
      </w:r>
      <w:r w:rsidRPr="002862EA">
        <w:rPr>
          <w:spacing w:val="-7"/>
        </w:rPr>
        <w:t xml:space="preserve"> </w:t>
      </w:r>
      <w:r w:rsidRPr="002862EA">
        <w:t>lub</w:t>
      </w:r>
      <w:r w:rsidRPr="002862EA">
        <w:rPr>
          <w:spacing w:val="-9"/>
        </w:rPr>
        <w:t xml:space="preserve"> </w:t>
      </w:r>
      <w:r w:rsidRPr="002862EA">
        <w:t>zamontowania</w:t>
      </w:r>
      <w:r w:rsidRPr="002862EA">
        <w:rPr>
          <w:spacing w:val="-6"/>
        </w:rPr>
        <w:t xml:space="preserve"> </w:t>
      </w:r>
      <w:r w:rsidRPr="002862EA">
        <w:t>wyrobów</w:t>
      </w:r>
      <w:r w:rsidRPr="002862EA">
        <w:rPr>
          <w:spacing w:val="-7"/>
        </w:rPr>
        <w:t xml:space="preserve"> </w:t>
      </w:r>
      <w:r w:rsidRPr="002862EA">
        <w:t>z</w:t>
      </w:r>
      <w:r w:rsidRPr="002862EA">
        <w:rPr>
          <w:spacing w:val="-6"/>
        </w:rPr>
        <w:t xml:space="preserve"> </w:t>
      </w:r>
      <w:r w:rsidRPr="002862EA">
        <w:t>zobowiązaniami</w:t>
      </w:r>
      <w:r w:rsidRPr="002862EA">
        <w:rPr>
          <w:spacing w:val="-6"/>
        </w:rPr>
        <w:t xml:space="preserve"> </w:t>
      </w:r>
      <w:r w:rsidRPr="002862EA">
        <w:t>Gwaranta</w:t>
      </w:r>
      <w:r w:rsidRPr="002862EA">
        <w:rPr>
          <w:spacing w:val="-7"/>
        </w:rPr>
        <w:t xml:space="preserve"> </w:t>
      </w:r>
      <w:r w:rsidRPr="002862EA">
        <w:t>o</w:t>
      </w:r>
      <w:r w:rsidRPr="002862EA">
        <w:rPr>
          <w:spacing w:val="-7"/>
        </w:rPr>
        <w:t xml:space="preserve"> </w:t>
      </w:r>
      <w:r w:rsidRPr="002862EA">
        <w:t>których</w:t>
      </w:r>
      <w:r w:rsidRPr="002862EA">
        <w:rPr>
          <w:spacing w:val="-9"/>
        </w:rPr>
        <w:t xml:space="preserve"> </w:t>
      </w:r>
      <w:r w:rsidRPr="002862EA">
        <w:t>mowa</w:t>
      </w:r>
      <w:r w:rsidRPr="002862EA">
        <w:rPr>
          <w:spacing w:val="-7"/>
        </w:rPr>
        <w:t xml:space="preserve"> </w:t>
      </w:r>
      <w:r w:rsidRPr="002862EA">
        <w:t>w pkt. 3 lub pkt. 4 powyżej</w:t>
      </w:r>
      <w:r w:rsidRPr="002862EA">
        <w:rPr>
          <w:spacing w:val="-1"/>
        </w:rPr>
        <w:t xml:space="preserve"> </w:t>
      </w:r>
      <w:r w:rsidRPr="002862EA">
        <w:t>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3"/>
        <w:ind w:right="225" w:hanging="361"/>
        <w:jc w:val="left"/>
      </w:pPr>
      <w:r w:rsidRPr="002862EA">
        <w:t>zmniejszenie wartości wyrobu</w:t>
      </w:r>
      <w:r w:rsidRPr="002862EA">
        <w:rPr>
          <w:spacing w:val="-24"/>
        </w:rPr>
        <w:t xml:space="preserve"> </w:t>
      </w:r>
      <w:r w:rsidRPr="002862EA">
        <w:t>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6" w:line="256" w:lineRule="auto"/>
        <w:ind w:right="225"/>
        <w:jc w:val="left"/>
      </w:pPr>
      <w:r w:rsidRPr="002862EA">
        <w:t>obniżenie stopnia użyteczności wyrobu względem gwarantowanych przez producenta parametrów oraz obowiązujących norm</w:t>
      </w:r>
      <w:r w:rsidRPr="002862EA">
        <w:rPr>
          <w:spacing w:val="-6"/>
        </w:rPr>
        <w:t xml:space="preserve"> </w:t>
      </w:r>
      <w:r w:rsidRPr="002862EA">
        <w:t>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3" w:line="254" w:lineRule="auto"/>
        <w:ind w:right="225"/>
        <w:jc w:val="left"/>
      </w:pPr>
      <w:r w:rsidRPr="002862EA">
        <w:t>obniżenie jakości lub inną szkodę w wyrobie względem gwarantowanych przez producenta parametrów oraz obowiązujących norm</w:t>
      </w:r>
      <w:r w:rsidRPr="002862EA">
        <w:rPr>
          <w:spacing w:val="-6"/>
        </w:rPr>
        <w:t xml:space="preserve"> </w:t>
      </w:r>
      <w:r w:rsidRPr="002862EA">
        <w:t>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6"/>
        <w:ind w:right="225" w:hanging="361"/>
        <w:jc w:val="left"/>
      </w:pPr>
      <w:r w:rsidRPr="002862EA">
        <w:t>usterki w</w:t>
      </w:r>
      <w:r w:rsidRPr="002862EA">
        <w:rPr>
          <w:spacing w:val="-2"/>
        </w:rPr>
        <w:t xml:space="preserve"> </w:t>
      </w:r>
      <w:r w:rsidRPr="002862EA">
        <w:t>wyrobie.</w:t>
      </w:r>
    </w:p>
    <w:p w:rsidR="00B051D4" w:rsidRPr="002862EA" w:rsidRDefault="00D00C31" w:rsidP="00715B00">
      <w:pPr>
        <w:pStyle w:val="Tekstpodstawowy"/>
        <w:spacing w:before="17"/>
        <w:ind w:left="112" w:right="225"/>
      </w:pPr>
      <w:r w:rsidRPr="002862EA">
        <w:t>Za wadę uznaje się również: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"/>
        <w:ind w:right="225" w:hanging="361"/>
        <w:jc w:val="left"/>
      </w:pPr>
      <w:r w:rsidRPr="002862EA">
        <w:t>sytuację w której wyrób nie stanowi własności Gwaranta</w:t>
      </w:r>
      <w:r w:rsidRPr="002862EA">
        <w:rPr>
          <w:spacing w:val="-7"/>
        </w:rPr>
        <w:t xml:space="preserve"> </w:t>
      </w:r>
      <w:r w:rsidRPr="002862EA">
        <w:t>lub/i</w:t>
      </w:r>
    </w:p>
    <w:p w:rsidR="00B051D4" w:rsidRPr="002862EA" w:rsidRDefault="00D00C31" w:rsidP="00715B00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8"/>
        <w:ind w:right="225" w:hanging="361"/>
        <w:jc w:val="left"/>
      </w:pPr>
      <w:r w:rsidRPr="002862EA">
        <w:t>sytuację w której Wyrób jest obciążony prawem lub prawami osób</w:t>
      </w:r>
      <w:r w:rsidRPr="002862EA">
        <w:rPr>
          <w:spacing w:val="-18"/>
        </w:rPr>
        <w:t xml:space="preserve"> </w:t>
      </w:r>
      <w:r w:rsidRPr="002862EA">
        <w:t>trzecich.</w:t>
      </w:r>
    </w:p>
    <w:p w:rsidR="00B051D4" w:rsidRPr="002862EA" w:rsidRDefault="00D00C31" w:rsidP="00715B00">
      <w:pPr>
        <w:pStyle w:val="Tekstpodstawowy"/>
        <w:spacing w:before="15"/>
        <w:ind w:left="112" w:right="225"/>
      </w:pPr>
      <w:r w:rsidRPr="002862EA">
        <w:rPr>
          <w:u w:val="single"/>
        </w:rPr>
        <w:t>Wada istotna</w:t>
      </w:r>
      <w:r w:rsidRPr="002862EA">
        <w:t xml:space="preserve"> oznacza wadę powodującą naruszenie bezpieczeństwa i zdrowia ludzi, bądź dóbr osób trzecich.</w:t>
      </w:r>
    </w:p>
    <w:p w:rsidR="00B051D4" w:rsidRPr="002862EA" w:rsidRDefault="00D00C31" w:rsidP="00715B00">
      <w:pPr>
        <w:pStyle w:val="Tekstpodstawowy"/>
        <w:spacing w:before="2"/>
        <w:ind w:left="112" w:right="225"/>
      </w:pPr>
      <w:r w:rsidRPr="002862EA">
        <w:rPr>
          <w:u w:val="single"/>
        </w:rPr>
        <w:t>Wada nieistotna</w:t>
      </w:r>
      <w:r w:rsidRPr="002862EA">
        <w:t xml:space="preserve"> oznacza wszystkie pozostałe wady.</w:t>
      </w:r>
    </w:p>
    <w:p w:rsidR="00B051D4" w:rsidRPr="002862EA" w:rsidRDefault="00B051D4" w:rsidP="00715B00">
      <w:pPr>
        <w:pStyle w:val="Tekstpodstawowy"/>
        <w:spacing w:before="1"/>
        <w:ind w:right="225"/>
      </w:pPr>
    </w:p>
    <w:p w:rsidR="00B051D4" w:rsidRPr="002862EA" w:rsidRDefault="00D00C31" w:rsidP="00715B00">
      <w:pPr>
        <w:pStyle w:val="Akapitzlist"/>
        <w:numPr>
          <w:ilvl w:val="0"/>
          <w:numId w:val="6"/>
        </w:numPr>
        <w:tabs>
          <w:tab w:val="left" w:pos="541"/>
        </w:tabs>
        <w:spacing w:before="1"/>
        <w:ind w:left="540" w:right="225" w:hanging="429"/>
        <w:jc w:val="both"/>
      </w:pPr>
      <w:r w:rsidRPr="002862EA">
        <w:t>Obowiązki i uprawnienia</w:t>
      </w:r>
      <w:r w:rsidRPr="002862EA">
        <w:rPr>
          <w:spacing w:val="-3"/>
        </w:rPr>
        <w:t xml:space="preserve"> </w:t>
      </w:r>
      <w:r w:rsidRPr="002862EA">
        <w:t>Stron:</w:t>
      </w:r>
    </w:p>
    <w:p w:rsidR="00B051D4" w:rsidRPr="002862EA" w:rsidRDefault="00D00C31" w:rsidP="00715B00">
      <w:pPr>
        <w:pStyle w:val="Akapitzlist"/>
        <w:numPr>
          <w:ilvl w:val="1"/>
          <w:numId w:val="5"/>
        </w:numPr>
        <w:tabs>
          <w:tab w:val="left" w:pos="566"/>
        </w:tabs>
        <w:spacing w:before="18" w:line="252" w:lineRule="exact"/>
        <w:ind w:right="225" w:hanging="454"/>
        <w:jc w:val="both"/>
      </w:pPr>
      <w:r w:rsidRPr="002862EA">
        <w:t>W przypadku ujawnienia jakiejkolwiek Wady, Zamawiający jest uprawniony według swojego uznania</w:t>
      </w:r>
      <w:r w:rsidRPr="002862EA">
        <w:rPr>
          <w:spacing w:val="-20"/>
        </w:rPr>
        <w:t xml:space="preserve"> </w:t>
      </w:r>
      <w:r w:rsidRPr="002862EA">
        <w:t>do:</w:t>
      </w:r>
    </w:p>
    <w:p w:rsidR="00B051D4" w:rsidRPr="002862EA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ind w:right="225"/>
        <w:jc w:val="both"/>
      </w:pPr>
      <w:r w:rsidRPr="002862EA">
        <w:t>jeżeli</w:t>
      </w:r>
      <w:r w:rsidRPr="002862EA">
        <w:rPr>
          <w:spacing w:val="-8"/>
        </w:rPr>
        <w:t xml:space="preserve"> </w:t>
      </w:r>
      <w:r w:rsidRPr="002862EA">
        <w:t>wady</w:t>
      </w:r>
      <w:r w:rsidRPr="002862EA">
        <w:rPr>
          <w:spacing w:val="-7"/>
        </w:rPr>
        <w:t xml:space="preserve"> </w:t>
      </w:r>
      <w:r w:rsidRPr="002862EA">
        <w:t>nadają</w:t>
      </w:r>
      <w:r w:rsidRPr="002862EA">
        <w:rPr>
          <w:spacing w:val="-7"/>
        </w:rPr>
        <w:t xml:space="preserve"> </w:t>
      </w:r>
      <w:r w:rsidRPr="002862EA">
        <w:t>się</w:t>
      </w:r>
      <w:r w:rsidRPr="002862EA">
        <w:rPr>
          <w:spacing w:val="-8"/>
        </w:rPr>
        <w:t xml:space="preserve"> </w:t>
      </w:r>
      <w:r w:rsidRPr="002862EA">
        <w:t>do</w:t>
      </w:r>
      <w:r w:rsidRPr="002862EA">
        <w:rPr>
          <w:spacing w:val="-8"/>
        </w:rPr>
        <w:t xml:space="preserve"> </w:t>
      </w:r>
      <w:r w:rsidRPr="002862EA">
        <w:t>usunięcia,</w:t>
      </w:r>
      <w:r w:rsidRPr="002862EA">
        <w:rPr>
          <w:spacing w:val="-7"/>
        </w:rPr>
        <w:t xml:space="preserve"> </w:t>
      </w:r>
      <w:r w:rsidRPr="002862EA">
        <w:t>a</w:t>
      </w:r>
      <w:r w:rsidRPr="002862EA">
        <w:rPr>
          <w:spacing w:val="-8"/>
        </w:rPr>
        <w:t xml:space="preserve"> </w:t>
      </w:r>
      <w:r w:rsidRPr="002862EA">
        <w:t>przedmiot</w:t>
      </w:r>
      <w:r w:rsidRPr="002862EA">
        <w:rPr>
          <w:spacing w:val="-7"/>
        </w:rPr>
        <w:t xml:space="preserve"> </w:t>
      </w:r>
      <w:r w:rsidRPr="002862EA">
        <w:t>umowy</w:t>
      </w:r>
      <w:r w:rsidRPr="002862EA">
        <w:rPr>
          <w:spacing w:val="-8"/>
        </w:rPr>
        <w:t xml:space="preserve"> </w:t>
      </w:r>
      <w:r w:rsidRPr="002862EA">
        <w:t>nie</w:t>
      </w:r>
      <w:r w:rsidRPr="002862EA">
        <w:rPr>
          <w:spacing w:val="-9"/>
        </w:rPr>
        <w:t xml:space="preserve"> </w:t>
      </w:r>
      <w:r w:rsidRPr="002862EA">
        <w:t>nadaje</w:t>
      </w:r>
      <w:r w:rsidRPr="002862EA">
        <w:rPr>
          <w:spacing w:val="-8"/>
        </w:rPr>
        <w:t xml:space="preserve"> </w:t>
      </w:r>
      <w:r w:rsidRPr="002862EA">
        <w:t>się</w:t>
      </w:r>
      <w:r w:rsidRPr="002862EA">
        <w:rPr>
          <w:spacing w:val="-8"/>
        </w:rPr>
        <w:t xml:space="preserve"> </w:t>
      </w:r>
      <w:r w:rsidRPr="002862EA">
        <w:t>do</w:t>
      </w:r>
      <w:r w:rsidRPr="002862EA">
        <w:rPr>
          <w:spacing w:val="-7"/>
        </w:rPr>
        <w:t xml:space="preserve"> </w:t>
      </w:r>
      <w:r w:rsidRPr="002862EA">
        <w:t>użytku</w:t>
      </w:r>
      <w:r w:rsidRPr="002862EA">
        <w:rPr>
          <w:spacing w:val="-8"/>
        </w:rPr>
        <w:t xml:space="preserve"> </w:t>
      </w:r>
      <w:r w:rsidRPr="002862EA">
        <w:t>Zamawiający,</w:t>
      </w:r>
      <w:r w:rsidRPr="002862EA">
        <w:rPr>
          <w:spacing w:val="-7"/>
        </w:rPr>
        <w:t xml:space="preserve"> </w:t>
      </w:r>
      <w:r w:rsidRPr="002862EA">
        <w:t>z</w:t>
      </w:r>
      <w:r w:rsidRPr="002862EA">
        <w:rPr>
          <w:spacing w:val="-8"/>
        </w:rPr>
        <w:t xml:space="preserve"> </w:t>
      </w:r>
      <w:r w:rsidRPr="002862EA">
        <w:t>zachowaniem prawa do należnych mu kar umownych i odszkodowań, ma prawo odmowy dokonania odbioru do czasu ich usunięcia, wyznaczając równocześnie termin usunięcia</w:t>
      </w:r>
      <w:r w:rsidRPr="002862EA">
        <w:rPr>
          <w:spacing w:val="-8"/>
        </w:rPr>
        <w:t xml:space="preserve"> </w:t>
      </w:r>
      <w:r w:rsidRPr="002862EA">
        <w:t>wad,</w:t>
      </w:r>
    </w:p>
    <w:p w:rsidR="00B051D4" w:rsidRPr="00FA08A8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ind w:right="225"/>
        <w:jc w:val="both"/>
      </w:pPr>
      <w:r w:rsidRPr="002862EA">
        <w:t xml:space="preserve">jeżeli wady nadają się do usunięcia, a przedmiot umowy nadaje się do umówionego użytku, Zamawiający z zachowaniem prawa do należnych mu kar umownych i odszkodowań, wyznacza </w:t>
      </w:r>
      <w:r w:rsidRPr="00FA08A8">
        <w:t>termin usunięcia</w:t>
      </w:r>
      <w:r w:rsidRPr="00FA08A8">
        <w:rPr>
          <w:spacing w:val="-34"/>
        </w:rPr>
        <w:t xml:space="preserve"> </w:t>
      </w:r>
      <w:r w:rsidRPr="00FA08A8">
        <w:t>wad.</w:t>
      </w:r>
    </w:p>
    <w:p w:rsidR="00B051D4" w:rsidRPr="00FA08A8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ind w:right="225"/>
        <w:jc w:val="both"/>
      </w:pPr>
      <w:r w:rsidRPr="00FA08A8">
        <w:t>jeżeli</w:t>
      </w:r>
      <w:r w:rsidRPr="00FA08A8">
        <w:rPr>
          <w:spacing w:val="-12"/>
        </w:rPr>
        <w:t xml:space="preserve"> </w:t>
      </w:r>
      <w:r w:rsidRPr="00FA08A8">
        <w:t>wady</w:t>
      </w:r>
      <w:r w:rsidRPr="00FA08A8">
        <w:rPr>
          <w:spacing w:val="-12"/>
        </w:rPr>
        <w:t xml:space="preserve"> </w:t>
      </w:r>
      <w:r w:rsidRPr="00FA08A8">
        <w:t>nie</w:t>
      </w:r>
      <w:r w:rsidRPr="00FA08A8">
        <w:rPr>
          <w:spacing w:val="-12"/>
        </w:rPr>
        <w:t xml:space="preserve"> </w:t>
      </w:r>
      <w:r w:rsidRPr="00FA08A8">
        <w:t>nadają</w:t>
      </w:r>
      <w:r w:rsidRPr="00FA08A8">
        <w:rPr>
          <w:spacing w:val="-13"/>
        </w:rPr>
        <w:t xml:space="preserve"> </w:t>
      </w:r>
      <w:r w:rsidRPr="00FA08A8">
        <w:t>się</w:t>
      </w:r>
      <w:r w:rsidRPr="00FA08A8">
        <w:rPr>
          <w:spacing w:val="-11"/>
        </w:rPr>
        <w:t xml:space="preserve"> </w:t>
      </w:r>
      <w:r w:rsidRPr="00FA08A8">
        <w:t>do</w:t>
      </w:r>
      <w:r w:rsidRPr="00FA08A8">
        <w:rPr>
          <w:spacing w:val="-11"/>
        </w:rPr>
        <w:t xml:space="preserve"> </w:t>
      </w:r>
      <w:r w:rsidRPr="00FA08A8">
        <w:t>usunięcia,</w:t>
      </w:r>
      <w:r w:rsidRPr="00FA08A8">
        <w:rPr>
          <w:spacing w:val="-12"/>
        </w:rPr>
        <w:t xml:space="preserve"> </w:t>
      </w:r>
      <w:r w:rsidRPr="00FA08A8">
        <w:t>a</w:t>
      </w:r>
      <w:r w:rsidRPr="00FA08A8">
        <w:rPr>
          <w:spacing w:val="-13"/>
        </w:rPr>
        <w:t xml:space="preserve"> </w:t>
      </w:r>
      <w:r w:rsidRPr="00FA08A8">
        <w:t>przedmiot</w:t>
      </w:r>
      <w:r w:rsidRPr="00FA08A8">
        <w:rPr>
          <w:spacing w:val="-12"/>
        </w:rPr>
        <w:t xml:space="preserve"> </w:t>
      </w:r>
      <w:r w:rsidRPr="00FA08A8">
        <w:t>Umowy</w:t>
      </w:r>
      <w:r w:rsidRPr="00FA08A8">
        <w:rPr>
          <w:spacing w:val="-15"/>
        </w:rPr>
        <w:t xml:space="preserve"> </w:t>
      </w:r>
      <w:r w:rsidRPr="00FA08A8">
        <w:t>nadaje</w:t>
      </w:r>
      <w:r w:rsidRPr="00FA08A8">
        <w:rPr>
          <w:spacing w:val="-12"/>
        </w:rPr>
        <w:t xml:space="preserve"> </w:t>
      </w:r>
      <w:r w:rsidRPr="00FA08A8">
        <w:t>się</w:t>
      </w:r>
      <w:r w:rsidRPr="00FA08A8">
        <w:rPr>
          <w:spacing w:val="-12"/>
        </w:rPr>
        <w:t xml:space="preserve"> </w:t>
      </w:r>
      <w:r w:rsidRPr="00FA08A8">
        <w:t>do</w:t>
      </w:r>
      <w:r w:rsidRPr="00FA08A8">
        <w:rPr>
          <w:spacing w:val="-12"/>
        </w:rPr>
        <w:t xml:space="preserve"> </w:t>
      </w:r>
      <w:r w:rsidRPr="00FA08A8">
        <w:t>użytku,</w:t>
      </w:r>
      <w:r w:rsidRPr="00FA08A8">
        <w:rPr>
          <w:spacing w:val="-13"/>
        </w:rPr>
        <w:t xml:space="preserve"> </w:t>
      </w:r>
      <w:r w:rsidRPr="00FA08A8">
        <w:t>Zamawiający,</w:t>
      </w:r>
      <w:r w:rsidRPr="00FA08A8">
        <w:rPr>
          <w:spacing w:val="-14"/>
        </w:rPr>
        <w:t xml:space="preserve"> </w:t>
      </w:r>
      <w:r w:rsidRPr="00FA08A8">
        <w:t>z</w:t>
      </w:r>
      <w:r w:rsidRPr="00FA08A8">
        <w:rPr>
          <w:spacing w:val="-12"/>
        </w:rPr>
        <w:t xml:space="preserve"> </w:t>
      </w:r>
      <w:r w:rsidRPr="00FA08A8">
        <w:t>zachowaniem prawa</w:t>
      </w:r>
      <w:r w:rsidRPr="00FA08A8">
        <w:rPr>
          <w:spacing w:val="-3"/>
        </w:rPr>
        <w:t xml:space="preserve"> </w:t>
      </w:r>
      <w:r w:rsidRPr="00FA08A8">
        <w:t>do</w:t>
      </w:r>
      <w:r w:rsidRPr="00FA08A8">
        <w:rPr>
          <w:spacing w:val="-3"/>
        </w:rPr>
        <w:t xml:space="preserve"> </w:t>
      </w:r>
      <w:r w:rsidRPr="00FA08A8">
        <w:t>należnych</w:t>
      </w:r>
      <w:r w:rsidRPr="00FA08A8">
        <w:rPr>
          <w:spacing w:val="-5"/>
        </w:rPr>
        <w:t xml:space="preserve"> </w:t>
      </w:r>
      <w:r w:rsidRPr="00FA08A8">
        <w:t>mu</w:t>
      </w:r>
      <w:r w:rsidRPr="00FA08A8">
        <w:rPr>
          <w:spacing w:val="-3"/>
        </w:rPr>
        <w:t xml:space="preserve"> </w:t>
      </w:r>
      <w:r w:rsidRPr="00FA08A8">
        <w:t>kar</w:t>
      </w:r>
      <w:r w:rsidRPr="00FA08A8">
        <w:rPr>
          <w:spacing w:val="-3"/>
        </w:rPr>
        <w:t xml:space="preserve"> </w:t>
      </w:r>
      <w:r w:rsidRPr="00FA08A8">
        <w:t>umownych</w:t>
      </w:r>
      <w:r w:rsidRPr="00FA08A8">
        <w:rPr>
          <w:spacing w:val="-5"/>
        </w:rPr>
        <w:t xml:space="preserve"> </w:t>
      </w:r>
      <w:r w:rsidRPr="00FA08A8">
        <w:t>i</w:t>
      </w:r>
      <w:r w:rsidRPr="00FA08A8">
        <w:rPr>
          <w:spacing w:val="-3"/>
        </w:rPr>
        <w:t xml:space="preserve"> </w:t>
      </w:r>
      <w:r w:rsidRPr="00FA08A8">
        <w:t>odszkodowań</w:t>
      </w:r>
      <w:r w:rsidRPr="00FA08A8">
        <w:rPr>
          <w:spacing w:val="-6"/>
        </w:rPr>
        <w:t xml:space="preserve"> </w:t>
      </w:r>
      <w:r w:rsidRPr="00FA08A8">
        <w:t>może</w:t>
      </w:r>
      <w:r w:rsidRPr="00FA08A8">
        <w:rPr>
          <w:spacing w:val="-2"/>
        </w:rPr>
        <w:t xml:space="preserve"> </w:t>
      </w:r>
      <w:r w:rsidRPr="00FA08A8">
        <w:t>obniżyć</w:t>
      </w:r>
      <w:r w:rsidRPr="00FA08A8">
        <w:rPr>
          <w:spacing w:val="-5"/>
        </w:rPr>
        <w:t xml:space="preserve"> </w:t>
      </w:r>
      <w:r w:rsidRPr="00FA08A8">
        <w:t>odpowiednio</w:t>
      </w:r>
      <w:r w:rsidRPr="00FA08A8">
        <w:rPr>
          <w:spacing w:val="-3"/>
        </w:rPr>
        <w:t xml:space="preserve"> </w:t>
      </w:r>
      <w:r w:rsidRPr="00FA08A8">
        <w:t>wartość</w:t>
      </w:r>
      <w:r w:rsidRPr="00FA08A8">
        <w:rPr>
          <w:spacing w:val="-2"/>
        </w:rPr>
        <w:t xml:space="preserve"> </w:t>
      </w:r>
      <w:r w:rsidRPr="00FA08A8">
        <w:t>wynagrodzenia.</w:t>
      </w:r>
    </w:p>
    <w:p w:rsidR="00B051D4" w:rsidRPr="00FA08A8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ind w:right="225"/>
        <w:jc w:val="both"/>
      </w:pPr>
      <w:r w:rsidRPr="00FA08A8">
        <w:t>żądania od Gwaranta kary umownej za zwłokę w usunięciu wad stwierdzonych podczas odbioru końcowego, w okresie rękojmi i gwarancji lub podczas odbioru ostatecznego w stosunku do terminu wyznaczonego przez Zamawiającego</w:t>
      </w:r>
      <w:r w:rsidRPr="00FA08A8">
        <w:rPr>
          <w:spacing w:val="-10"/>
        </w:rPr>
        <w:t xml:space="preserve"> </w:t>
      </w:r>
      <w:r w:rsidRPr="00FA08A8">
        <w:t>na</w:t>
      </w:r>
      <w:r w:rsidRPr="00FA08A8">
        <w:rPr>
          <w:spacing w:val="-13"/>
        </w:rPr>
        <w:t xml:space="preserve"> </w:t>
      </w:r>
      <w:r w:rsidRPr="00FA08A8">
        <w:t>usunięcie</w:t>
      </w:r>
      <w:r w:rsidRPr="00FA08A8">
        <w:rPr>
          <w:spacing w:val="-12"/>
        </w:rPr>
        <w:t xml:space="preserve"> </w:t>
      </w:r>
      <w:r w:rsidRPr="00FA08A8">
        <w:t>wad</w:t>
      </w:r>
      <w:r w:rsidRPr="00FA08A8">
        <w:rPr>
          <w:spacing w:val="-10"/>
        </w:rPr>
        <w:t xml:space="preserve"> </w:t>
      </w:r>
      <w:r w:rsidRPr="00FA08A8">
        <w:t>w</w:t>
      </w:r>
      <w:r w:rsidRPr="00FA08A8">
        <w:rPr>
          <w:spacing w:val="-11"/>
        </w:rPr>
        <w:t xml:space="preserve"> </w:t>
      </w:r>
      <w:r w:rsidRPr="00FA08A8">
        <w:t>wysokości</w:t>
      </w:r>
      <w:r w:rsidRPr="00FA08A8">
        <w:rPr>
          <w:spacing w:val="-10"/>
        </w:rPr>
        <w:t xml:space="preserve"> </w:t>
      </w:r>
      <w:r w:rsidR="000A053E" w:rsidRPr="00FA08A8">
        <w:t>5</w:t>
      </w:r>
      <w:r w:rsidRPr="00FA08A8">
        <w:t>00,00</w:t>
      </w:r>
      <w:r w:rsidRPr="00FA08A8">
        <w:rPr>
          <w:spacing w:val="-11"/>
        </w:rPr>
        <w:t xml:space="preserve"> </w:t>
      </w:r>
      <w:r w:rsidRPr="00FA08A8">
        <w:t>zł</w:t>
      </w:r>
      <w:r w:rsidRPr="00FA08A8">
        <w:rPr>
          <w:spacing w:val="-10"/>
        </w:rPr>
        <w:t xml:space="preserve"> </w:t>
      </w:r>
      <w:r w:rsidRPr="00FA08A8">
        <w:t>(słownie:</w:t>
      </w:r>
      <w:r w:rsidRPr="00FA08A8">
        <w:rPr>
          <w:spacing w:val="-13"/>
        </w:rPr>
        <w:t xml:space="preserve"> </w:t>
      </w:r>
      <w:r w:rsidR="000A053E" w:rsidRPr="00FA08A8">
        <w:rPr>
          <w:spacing w:val="-13"/>
        </w:rPr>
        <w:t>pięćset</w:t>
      </w:r>
      <w:r w:rsidRPr="00FA08A8">
        <w:rPr>
          <w:spacing w:val="-13"/>
        </w:rPr>
        <w:t xml:space="preserve"> </w:t>
      </w:r>
      <w:r w:rsidRPr="00FA08A8">
        <w:t>złotych</w:t>
      </w:r>
      <w:r w:rsidRPr="00FA08A8">
        <w:rPr>
          <w:spacing w:val="-12"/>
        </w:rPr>
        <w:t xml:space="preserve"> </w:t>
      </w:r>
      <w:r w:rsidRPr="00FA08A8">
        <w:t>00/100)</w:t>
      </w:r>
      <w:r w:rsidRPr="00FA08A8">
        <w:rPr>
          <w:spacing w:val="-10"/>
        </w:rPr>
        <w:t xml:space="preserve"> </w:t>
      </w:r>
      <w:r w:rsidRPr="00FA08A8">
        <w:t>za</w:t>
      </w:r>
      <w:r w:rsidRPr="00FA08A8">
        <w:rPr>
          <w:spacing w:val="-10"/>
        </w:rPr>
        <w:t xml:space="preserve"> </w:t>
      </w:r>
      <w:r w:rsidRPr="00FA08A8">
        <w:t>każdy</w:t>
      </w:r>
      <w:r w:rsidRPr="00FA08A8">
        <w:rPr>
          <w:spacing w:val="-12"/>
        </w:rPr>
        <w:t xml:space="preserve"> </w:t>
      </w:r>
      <w:r w:rsidRPr="00FA08A8">
        <w:t>dzień zwłoki.</w:t>
      </w:r>
    </w:p>
    <w:p w:rsidR="00B051D4" w:rsidRPr="002862EA" w:rsidRDefault="00D00C31" w:rsidP="00715B00">
      <w:pPr>
        <w:pStyle w:val="Akapitzlist"/>
        <w:numPr>
          <w:ilvl w:val="1"/>
          <w:numId w:val="5"/>
        </w:numPr>
        <w:tabs>
          <w:tab w:val="left" w:pos="566"/>
        </w:tabs>
        <w:spacing w:line="252" w:lineRule="exact"/>
        <w:ind w:right="225" w:hanging="454"/>
        <w:jc w:val="both"/>
      </w:pPr>
      <w:r w:rsidRPr="002862EA">
        <w:t>W przypadku ujawnienia jakiejkolwiek Wady w Wyrobie Gwarant jest zobowiązany do</w:t>
      </w:r>
      <w:r w:rsidRPr="002862EA">
        <w:rPr>
          <w:spacing w:val="-19"/>
        </w:rPr>
        <w:t xml:space="preserve"> </w:t>
      </w:r>
      <w:r w:rsidRPr="002862EA">
        <w:t>:</w:t>
      </w:r>
    </w:p>
    <w:p w:rsidR="00B051D4" w:rsidRPr="002862EA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ind w:right="225"/>
        <w:jc w:val="both"/>
      </w:pPr>
      <w:r w:rsidRPr="002862EA">
        <w:t>terminowego spełnienia żądania Zamawiającego dotyczącego nieodpłatnego usunięcia Wady, przy czym usunięcie Wady może nastąpić również poprzez wymianę Wyrobu wchodzącego w zakres Przedmiotu umowy na wolną od</w:t>
      </w:r>
      <w:r w:rsidRPr="002862EA">
        <w:rPr>
          <w:spacing w:val="-1"/>
        </w:rPr>
        <w:t xml:space="preserve"> </w:t>
      </w:r>
      <w:r w:rsidRPr="002862EA">
        <w:t>Wad,</w:t>
      </w:r>
    </w:p>
    <w:p w:rsidR="00B051D4" w:rsidRPr="002862EA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spacing w:line="251" w:lineRule="exact"/>
        <w:ind w:right="225" w:hanging="361"/>
        <w:jc w:val="both"/>
      </w:pPr>
      <w:r w:rsidRPr="002862EA">
        <w:t>terminu spełnienia żądania Zamawiającego dotyczącego nieodpłatnej wymiany Wyrobu na wolny od</w:t>
      </w:r>
      <w:r w:rsidRPr="002862EA">
        <w:rPr>
          <w:spacing w:val="-30"/>
        </w:rPr>
        <w:t xml:space="preserve"> </w:t>
      </w:r>
      <w:r w:rsidR="002862EA" w:rsidRPr="002862EA">
        <w:rPr>
          <w:spacing w:val="-30"/>
        </w:rPr>
        <w:t xml:space="preserve"> </w:t>
      </w:r>
      <w:r w:rsidRPr="002862EA">
        <w:t>Wad,</w:t>
      </w:r>
    </w:p>
    <w:p w:rsidR="00B051D4" w:rsidRPr="002862EA" w:rsidRDefault="00D00C31" w:rsidP="00715B00">
      <w:pPr>
        <w:pStyle w:val="Akapitzlist"/>
        <w:numPr>
          <w:ilvl w:val="2"/>
          <w:numId w:val="5"/>
        </w:numPr>
        <w:tabs>
          <w:tab w:val="left" w:pos="1040"/>
        </w:tabs>
        <w:spacing w:before="2" w:line="252" w:lineRule="exact"/>
        <w:ind w:right="225" w:hanging="361"/>
        <w:jc w:val="both"/>
      </w:pPr>
      <w:r w:rsidRPr="002862EA">
        <w:t>zapłaty kary umownej, o której mowa w pkt. 11.1 lit.</w:t>
      </w:r>
      <w:r w:rsidRPr="002862EA">
        <w:rPr>
          <w:spacing w:val="-11"/>
        </w:rPr>
        <w:t xml:space="preserve"> </w:t>
      </w:r>
      <w:r w:rsidRPr="002862EA">
        <w:t>d).</w:t>
      </w:r>
    </w:p>
    <w:p w:rsidR="00B051D4" w:rsidRPr="002862EA" w:rsidRDefault="00D00C31" w:rsidP="00715B00">
      <w:pPr>
        <w:pStyle w:val="Tekstpodstawowy"/>
        <w:spacing w:line="252" w:lineRule="exact"/>
        <w:ind w:left="679" w:right="225"/>
        <w:jc w:val="both"/>
      </w:pPr>
      <w:r w:rsidRPr="002862EA">
        <w:t>Jeżeli kary umowne nie pokryją szkody w całości, Zamawiający będzie uprawniony do dochodzenia odszkodowania</w:t>
      </w:r>
      <w:r w:rsidR="002862EA" w:rsidRPr="002862EA">
        <w:t xml:space="preserve"> </w:t>
      </w:r>
      <w:r w:rsidRPr="002862EA">
        <w:t>w pełnej wysokości na warunkach ogólnych.</w:t>
      </w:r>
    </w:p>
    <w:p w:rsidR="00B051D4" w:rsidRPr="002862EA" w:rsidRDefault="00D00C31" w:rsidP="00715B00">
      <w:pPr>
        <w:pStyle w:val="Akapitzlist"/>
        <w:numPr>
          <w:ilvl w:val="1"/>
          <w:numId w:val="5"/>
        </w:numPr>
        <w:tabs>
          <w:tab w:val="left" w:pos="607"/>
        </w:tabs>
        <w:ind w:left="679" w:right="225" w:hanging="567"/>
        <w:jc w:val="both"/>
      </w:pPr>
      <w:r w:rsidRPr="002862EA">
        <w:t xml:space="preserve">Ilekroć w postanowieniach jest mowa o „usunięciu Wady” należy przez to rozumieć również </w:t>
      </w:r>
      <w:r w:rsidRPr="002862EA">
        <w:lastRenderedPageBreak/>
        <w:t>wymianę Wyrobu wchodzącego w zakres Przedmiotu Umowy na wolny od</w:t>
      </w:r>
      <w:r w:rsidRPr="002862EA">
        <w:rPr>
          <w:spacing w:val="-6"/>
        </w:rPr>
        <w:t xml:space="preserve"> </w:t>
      </w:r>
      <w:r w:rsidRPr="002862EA">
        <w:t>Wad.</w:t>
      </w:r>
    </w:p>
    <w:p w:rsidR="00B051D4" w:rsidRPr="002862EA" w:rsidRDefault="00B051D4" w:rsidP="00715B00">
      <w:pPr>
        <w:pStyle w:val="Tekstpodstawowy"/>
        <w:ind w:right="225"/>
        <w:rPr>
          <w:sz w:val="20"/>
        </w:rPr>
      </w:pPr>
    </w:p>
    <w:p w:rsidR="00B051D4" w:rsidRPr="002862EA" w:rsidRDefault="00D00C31" w:rsidP="00715B00">
      <w:pPr>
        <w:pStyle w:val="Nagwek1"/>
        <w:numPr>
          <w:ilvl w:val="0"/>
          <w:numId w:val="6"/>
        </w:numPr>
        <w:tabs>
          <w:tab w:val="left" w:pos="541"/>
        </w:tabs>
        <w:ind w:left="540" w:right="225" w:hanging="429"/>
        <w:jc w:val="both"/>
      </w:pPr>
      <w:r w:rsidRPr="002862EA">
        <w:t>Przeglądy</w:t>
      </w:r>
      <w:r w:rsidRPr="002862EA">
        <w:rPr>
          <w:spacing w:val="-1"/>
        </w:rPr>
        <w:t xml:space="preserve"> </w:t>
      </w:r>
      <w:r w:rsidRPr="002862EA">
        <w:t>gwarancyjne:</w:t>
      </w:r>
    </w:p>
    <w:p w:rsidR="00B051D4" w:rsidRPr="002862EA" w:rsidRDefault="00D00C31" w:rsidP="00715B00">
      <w:pPr>
        <w:pStyle w:val="Akapitzlist"/>
        <w:numPr>
          <w:ilvl w:val="1"/>
          <w:numId w:val="4"/>
        </w:numPr>
        <w:tabs>
          <w:tab w:val="left" w:pos="680"/>
        </w:tabs>
        <w:spacing w:before="20" w:line="259" w:lineRule="auto"/>
        <w:ind w:right="225"/>
        <w:jc w:val="both"/>
      </w:pPr>
      <w:r w:rsidRPr="002862EA">
        <w:t>Przeglądy gwarancyjne odbywać się będą po zakończeniu realizacji przedmiotu umowy według uznania zamawiającego, nie rzadziej niż co 12 miesięcy w okresie obowiązywania niniejszej</w:t>
      </w:r>
      <w:r w:rsidRPr="002862EA">
        <w:rPr>
          <w:spacing w:val="-14"/>
        </w:rPr>
        <w:t xml:space="preserve"> </w:t>
      </w:r>
      <w:r w:rsidRPr="002862EA">
        <w:t>gwarancji.</w:t>
      </w:r>
    </w:p>
    <w:p w:rsidR="00B051D4" w:rsidRPr="002862EA" w:rsidRDefault="00D00C31" w:rsidP="00715B00">
      <w:pPr>
        <w:pStyle w:val="Akapitzlist"/>
        <w:numPr>
          <w:ilvl w:val="1"/>
          <w:numId w:val="4"/>
        </w:numPr>
        <w:tabs>
          <w:tab w:val="left" w:pos="680"/>
        </w:tabs>
        <w:spacing w:line="259" w:lineRule="auto"/>
        <w:ind w:right="225"/>
        <w:jc w:val="both"/>
      </w:pPr>
      <w:r w:rsidRPr="002862EA">
        <w:t>Datę,</w:t>
      </w:r>
      <w:r w:rsidRPr="002862EA">
        <w:rPr>
          <w:spacing w:val="-17"/>
        </w:rPr>
        <w:t xml:space="preserve"> </w:t>
      </w:r>
      <w:r w:rsidRPr="002862EA">
        <w:t>godzinę</w:t>
      </w:r>
      <w:r w:rsidRPr="002862EA">
        <w:rPr>
          <w:spacing w:val="-16"/>
        </w:rPr>
        <w:t xml:space="preserve"> </w:t>
      </w:r>
      <w:r w:rsidRPr="002862EA">
        <w:t>i</w:t>
      </w:r>
      <w:r w:rsidRPr="002862EA">
        <w:rPr>
          <w:spacing w:val="-17"/>
        </w:rPr>
        <w:t xml:space="preserve"> </w:t>
      </w:r>
      <w:r w:rsidRPr="002862EA">
        <w:t>miejsce</w:t>
      </w:r>
      <w:r w:rsidRPr="002862EA">
        <w:rPr>
          <w:spacing w:val="-16"/>
        </w:rPr>
        <w:t xml:space="preserve"> </w:t>
      </w:r>
      <w:r w:rsidRPr="002862EA">
        <w:t>dokonania</w:t>
      </w:r>
      <w:r w:rsidRPr="002862EA">
        <w:rPr>
          <w:spacing w:val="-16"/>
        </w:rPr>
        <w:t xml:space="preserve"> </w:t>
      </w:r>
      <w:r w:rsidRPr="002862EA">
        <w:t>przeglądu</w:t>
      </w:r>
      <w:r w:rsidRPr="002862EA">
        <w:rPr>
          <w:spacing w:val="-17"/>
        </w:rPr>
        <w:t xml:space="preserve"> </w:t>
      </w:r>
      <w:r w:rsidRPr="002862EA">
        <w:t>gwarancyjnego</w:t>
      </w:r>
      <w:r w:rsidRPr="002862EA">
        <w:rPr>
          <w:spacing w:val="-17"/>
        </w:rPr>
        <w:t xml:space="preserve"> </w:t>
      </w:r>
      <w:r w:rsidRPr="002862EA">
        <w:t>wyznacza</w:t>
      </w:r>
      <w:r w:rsidRPr="002862EA">
        <w:rPr>
          <w:spacing w:val="-16"/>
        </w:rPr>
        <w:t xml:space="preserve"> </w:t>
      </w:r>
      <w:r w:rsidRPr="002862EA">
        <w:t>Zamawiający</w:t>
      </w:r>
      <w:r w:rsidRPr="002862EA">
        <w:rPr>
          <w:spacing w:val="-18"/>
        </w:rPr>
        <w:t xml:space="preserve"> </w:t>
      </w:r>
      <w:r w:rsidRPr="002862EA">
        <w:t>zawiadamiając</w:t>
      </w:r>
      <w:r w:rsidRPr="002862EA">
        <w:rPr>
          <w:spacing w:val="-16"/>
        </w:rPr>
        <w:t xml:space="preserve"> </w:t>
      </w:r>
      <w:r w:rsidRPr="002862EA">
        <w:t>o</w:t>
      </w:r>
      <w:r w:rsidRPr="002862EA">
        <w:rPr>
          <w:spacing w:val="-18"/>
        </w:rPr>
        <w:t xml:space="preserve"> </w:t>
      </w:r>
      <w:r w:rsidRPr="002862EA">
        <w:t>nim</w:t>
      </w:r>
      <w:r w:rsidRPr="002862EA">
        <w:rPr>
          <w:spacing w:val="-18"/>
        </w:rPr>
        <w:t xml:space="preserve"> </w:t>
      </w:r>
      <w:r w:rsidRPr="002862EA">
        <w:t>Gwaranta na piśmie, z co najmniej 14 dniowym wyprzedzeniem. Gwarant jest obowiązany uczestniczyć w przeglądach gwarancyjnych.</w:t>
      </w:r>
    </w:p>
    <w:p w:rsidR="00B051D4" w:rsidRPr="002862EA" w:rsidRDefault="00D00C31" w:rsidP="00715B00">
      <w:pPr>
        <w:pStyle w:val="Akapitzlist"/>
        <w:numPr>
          <w:ilvl w:val="1"/>
          <w:numId w:val="4"/>
        </w:numPr>
        <w:tabs>
          <w:tab w:val="left" w:pos="680"/>
        </w:tabs>
        <w:spacing w:line="230" w:lineRule="exact"/>
        <w:ind w:right="225"/>
        <w:jc w:val="both"/>
      </w:pPr>
      <w:r w:rsidRPr="002862EA">
        <w:t>W</w:t>
      </w:r>
      <w:r w:rsidRPr="002862EA">
        <w:rPr>
          <w:spacing w:val="-12"/>
        </w:rPr>
        <w:t xml:space="preserve"> </w:t>
      </w:r>
      <w:r w:rsidRPr="002862EA">
        <w:t>skład</w:t>
      </w:r>
      <w:r w:rsidRPr="002862EA">
        <w:rPr>
          <w:spacing w:val="-13"/>
        </w:rPr>
        <w:t xml:space="preserve"> </w:t>
      </w:r>
      <w:r w:rsidRPr="002862EA">
        <w:t>komisji</w:t>
      </w:r>
      <w:r w:rsidRPr="002862EA">
        <w:rPr>
          <w:spacing w:val="-13"/>
        </w:rPr>
        <w:t xml:space="preserve"> </w:t>
      </w:r>
      <w:r w:rsidRPr="002862EA">
        <w:t>oceniającej</w:t>
      </w:r>
      <w:r w:rsidRPr="002862EA">
        <w:rPr>
          <w:spacing w:val="-12"/>
        </w:rPr>
        <w:t xml:space="preserve"> </w:t>
      </w:r>
      <w:r w:rsidRPr="002862EA">
        <w:t>będą</w:t>
      </w:r>
      <w:r w:rsidRPr="002862EA">
        <w:rPr>
          <w:spacing w:val="-11"/>
        </w:rPr>
        <w:t xml:space="preserve"> </w:t>
      </w:r>
      <w:r w:rsidRPr="002862EA">
        <w:t>wchodziły</w:t>
      </w:r>
      <w:r w:rsidRPr="002862EA">
        <w:rPr>
          <w:spacing w:val="-12"/>
        </w:rPr>
        <w:t xml:space="preserve"> </w:t>
      </w:r>
      <w:r w:rsidRPr="002862EA">
        <w:t>co</w:t>
      </w:r>
      <w:r w:rsidRPr="002862EA">
        <w:rPr>
          <w:spacing w:val="-14"/>
        </w:rPr>
        <w:t xml:space="preserve"> </w:t>
      </w:r>
      <w:r w:rsidRPr="002862EA">
        <w:t>najmniej</w:t>
      </w:r>
      <w:r w:rsidRPr="002862EA">
        <w:rPr>
          <w:spacing w:val="-11"/>
        </w:rPr>
        <w:t xml:space="preserve"> </w:t>
      </w:r>
      <w:r w:rsidRPr="002862EA">
        <w:t>2</w:t>
      </w:r>
      <w:r w:rsidRPr="002862EA">
        <w:rPr>
          <w:spacing w:val="-13"/>
        </w:rPr>
        <w:t xml:space="preserve"> </w:t>
      </w:r>
      <w:r w:rsidRPr="002862EA">
        <w:t>osoby</w:t>
      </w:r>
      <w:r w:rsidRPr="002862EA">
        <w:rPr>
          <w:spacing w:val="-11"/>
        </w:rPr>
        <w:t xml:space="preserve"> </w:t>
      </w:r>
      <w:r w:rsidRPr="002862EA">
        <w:t>wyznaczone</w:t>
      </w:r>
      <w:r w:rsidRPr="002862EA">
        <w:rPr>
          <w:spacing w:val="-12"/>
        </w:rPr>
        <w:t xml:space="preserve"> </w:t>
      </w:r>
      <w:r w:rsidRPr="002862EA">
        <w:t>przez</w:t>
      </w:r>
      <w:r w:rsidRPr="002862EA">
        <w:rPr>
          <w:spacing w:val="-12"/>
        </w:rPr>
        <w:t xml:space="preserve"> </w:t>
      </w:r>
      <w:r w:rsidRPr="002862EA">
        <w:t>Zamawiającego</w:t>
      </w:r>
      <w:r w:rsidRPr="002862EA">
        <w:rPr>
          <w:spacing w:val="-11"/>
        </w:rPr>
        <w:t xml:space="preserve"> </w:t>
      </w:r>
      <w:r w:rsidRPr="002862EA">
        <w:t>oraz</w:t>
      </w:r>
      <w:r w:rsidRPr="002862EA">
        <w:rPr>
          <w:spacing w:val="-13"/>
        </w:rPr>
        <w:t xml:space="preserve"> </w:t>
      </w:r>
      <w:r w:rsidRPr="002862EA">
        <w:t>co</w:t>
      </w:r>
      <w:r w:rsidRPr="002862EA">
        <w:rPr>
          <w:spacing w:val="-13"/>
        </w:rPr>
        <w:t xml:space="preserve"> </w:t>
      </w:r>
      <w:r w:rsidRPr="002862EA">
        <w:t>najmniej 2</w:t>
      </w:r>
      <w:r w:rsidRPr="002862EA">
        <w:rPr>
          <w:spacing w:val="17"/>
        </w:rPr>
        <w:t xml:space="preserve"> </w:t>
      </w:r>
      <w:r w:rsidRPr="002862EA">
        <w:t>osoby</w:t>
      </w:r>
      <w:r w:rsidRPr="002862EA">
        <w:rPr>
          <w:spacing w:val="19"/>
        </w:rPr>
        <w:t xml:space="preserve"> </w:t>
      </w:r>
      <w:r w:rsidRPr="002862EA">
        <w:t>wyznaczone</w:t>
      </w:r>
      <w:r w:rsidRPr="002862EA">
        <w:rPr>
          <w:spacing w:val="17"/>
        </w:rPr>
        <w:t xml:space="preserve"> </w:t>
      </w:r>
      <w:r w:rsidRPr="002862EA">
        <w:t>przez</w:t>
      </w:r>
      <w:r w:rsidRPr="002862EA">
        <w:rPr>
          <w:spacing w:val="19"/>
        </w:rPr>
        <w:t xml:space="preserve"> </w:t>
      </w:r>
      <w:r w:rsidRPr="002862EA">
        <w:t>Gwaranta.</w:t>
      </w:r>
      <w:r w:rsidRPr="002862EA">
        <w:rPr>
          <w:spacing w:val="18"/>
        </w:rPr>
        <w:t xml:space="preserve"> </w:t>
      </w:r>
      <w:r w:rsidRPr="002862EA">
        <w:t>Gwarant</w:t>
      </w:r>
      <w:r w:rsidRPr="002862EA">
        <w:rPr>
          <w:spacing w:val="17"/>
        </w:rPr>
        <w:t xml:space="preserve"> </w:t>
      </w:r>
      <w:r w:rsidRPr="002862EA">
        <w:t>jest</w:t>
      </w:r>
      <w:r w:rsidRPr="002862EA">
        <w:rPr>
          <w:spacing w:val="16"/>
        </w:rPr>
        <w:t xml:space="preserve"> </w:t>
      </w:r>
      <w:r w:rsidRPr="002862EA">
        <w:t>zobowiązany</w:t>
      </w:r>
      <w:r w:rsidRPr="002862EA">
        <w:rPr>
          <w:spacing w:val="19"/>
        </w:rPr>
        <w:t xml:space="preserve"> </w:t>
      </w:r>
      <w:r w:rsidRPr="002862EA">
        <w:t>wyznaczyć</w:t>
      </w:r>
      <w:r w:rsidRPr="002862EA">
        <w:rPr>
          <w:spacing w:val="18"/>
        </w:rPr>
        <w:t xml:space="preserve"> </w:t>
      </w:r>
      <w:r w:rsidRPr="002862EA">
        <w:t>co</w:t>
      </w:r>
      <w:r w:rsidRPr="002862EA">
        <w:rPr>
          <w:spacing w:val="16"/>
        </w:rPr>
        <w:t xml:space="preserve"> </w:t>
      </w:r>
      <w:r w:rsidRPr="002862EA">
        <w:t>najmniej</w:t>
      </w:r>
      <w:r w:rsidRPr="002862EA">
        <w:rPr>
          <w:spacing w:val="16"/>
        </w:rPr>
        <w:t xml:space="preserve"> </w:t>
      </w:r>
      <w:r w:rsidRPr="002862EA">
        <w:t>2</w:t>
      </w:r>
      <w:r w:rsidRPr="002862EA">
        <w:rPr>
          <w:spacing w:val="18"/>
        </w:rPr>
        <w:t xml:space="preserve"> </w:t>
      </w:r>
      <w:r w:rsidRPr="002862EA">
        <w:t>osoby</w:t>
      </w:r>
      <w:r w:rsidRPr="002862EA">
        <w:rPr>
          <w:spacing w:val="15"/>
        </w:rPr>
        <w:t xml:space="preserve"> </w:t>
      </w:r>
      <w:r w:rsidRPr="002862EA">
        <w:t>do</w:t>
      </w:r>
      <w:r w:rsidRPr="002862EA">
        <w:rPr>
          <w:spacing w:val="18"/>
        </w:rPr>
        <w:t xml:space="preserve"> </w:t>
      </w:r>
      <w:r w:rsidRPr="002862EA">
        <w:t>dokonania</w:t>
      </w:r>
      <w:r w:rsidR="002862EA" w:rsidRPr="002862EA">
        <w:t xml:space="preserve"> </w:t>
      </w:r>
      <w:r w:rsidRPr="002862EA">
        <w:t>przeglądu gwarancyjnego i wskazać Zamawiającemu wyznaczone osoby na piśmie w terminie najpóźniej na 7 dni przed planowanym przeglądem.</w:t>
      </w:r>
    </w:p>
    <w:p w:rsidR="00B051D4" w:rsidRPr="002862EA" w:rsidRDefault="00815263" w:rsidP="00715B00">
      <w:pPr>
        <w:pStyle w:val="Akapitzlist"/>
        <w:numPr>
          <w:ilvl w:val="1"/>
          <w:numId w:val="4"/>
        </w:numPr>
        <w:tabs>
          <w:tab w:val="left" w:pos="680"/>
        </w:tabs>
        <w:spacing w:before="93" w:line="259" w:lineRule="auto"/>
        <w:ind w:right="225"/>
        <w:jc w:val="both"/>
      </w:pPr>
      <w:r>
        <w:pict>
          <v:rect id="_x0000_s1027" style="position:absolute;left:0;text-align:left;margin-left:529.65pt;margin-top:739.2pt;width:61.2pt;height:.5pt;z-index:15729664;mso-position-horizontal-relative:page;mso-position-vertical-relative:page" fillcolor="#d7d7d7" stroked="f">
            <w10:wrap anchorx="page" anchory="page"/>
          </v:rect>
        </w:pict>
      </w:r>
      <w:r w:rsidR="00D00C31" w:rsidRPr="002862EA">
        <w:t>Jeżeli</w:t>
      </w:r>
      <w:r w:rsidR="00D00C31" w:rsidRPr="002862EA">
        <w:rPr>
          <w:spacing w:val="-17"/>
        </w:rPr>
        <w:t xml:space="preserve"> </w:t>
      </w:r>
      <w:r w:rsidR="00D00C31" w:rsidRPr="002862EA">
        <w:t>Gwarant</w:t>
      </w:r>
      <w:r w:rsidR="00D00C31" w:rsidRPr="002862EA">
        <w:rPr>
          <w:spacing w:val="-16"/>
        </w:rPr>
        <w:t xml:space="preserve"> </w:t>
      </w:r>
      <w:r w:rsidR="00D00C31" w:rsidRPr="002862EA">
        <w:t>został</w:t>
      </w:r>
      <w:r w:rsidR="00D00C31" w:rsidRPr="002862EA">
        <w:rPr>
          <w:spacing w:val="-16"/>
        </w:rPr>
        <w:t xml:space="preserve"> </w:t>
      </w:r>
      <w:r w:rsidR="00D00C31" w:rsidRPr="002862EA">
        <w:t>prawidłowo</w:t>
      </w:r>
      <w:r w:rsidR="00D00C31" w:rsidRPr="002862EA">
        <w:rPr>
          <w:spacing w:val="-16"/>
        </w:rPr>
        <w:t xml:space="preserve"> </w:t>
      </w:r>
      <w:r w:rsidR="00D00C31" w:rsidRPr="002862EA">
        <w:t>zawiadomiony</w:t>
      </w:r>
      <w:r w:rsidR="00D00C31" w:rsidRPr="002862EA">
        <w:rPr>
          <w:spacing w:val="-17"/>
        </w:rPr>
        <w:t xml:space="preserve"> </w:t>
      </w:r>
      <w:r w:rsidR="00D00C31" w:rsidRPr="002862EA">
        <w:t>o</w:t>
      </w:r>
      <w:r w:rsidR="00D00C31" w:rsidRPr="002862EA">
        <w:rPr>
          <w:spacing w:val="-16"/>
        </w:rPr>
        <w:t xml:space="preserve"> </w:t>
      </w:r>
      <w:r w:rsidR="00D00C31" w:rsidRPr="002862EA">
        <w:t>terminie</w:t>
      </w:r>
      <w:r w:rsidR="00D00C31" w:rsidRPr="002862EA">
        <w:rPr>
          <w:spacing w:val="-18"/>
        </w:rPr>
        <w:t xml:space="preserve"> </w:t>
      </w:r>
      <w:r w:rsidR="00D00C31" w:rsidRPr="002862EA">
        <w:t>i</w:t>
      </w:r>
      <w:r w:rsidR="00D00C31" w:rsidRPr="002862EA">
        <w:rPr>
          <w:spacing w:val="-18"/>
        </w:rPr>
        <w:t xml:space="preserve"> </w:t>
      </w:r>
      <w:r w:rsidR="00D00C31" w:rsidRPr="002862EA">
        <w:t>miejscu</w:t>
      </w:r>
      <w:r w:rsidR="00D00C31" w:rsidRPr="002862EA">
        <w:rPr>
          <w:spacing w:val="-16"/>
        </w:rPr>
        <w:t xml:space="preserve"> </w:t>
      </w:r>
      <w:r w:rsidR="00D00C31" w:rsidRPr="002862EA">
        <w:t>dokonania</w:t>
      </w:r>
      <w:r w:rsidR="00D00C31" w:rsidRPr="002862EA">
        <w:rPr>
          <w:spacing w:val="-17"/>
        </w:rPr>
        <w:t xml:space="preserve"> </w:t>
      </w:r>
      <w:r w:rsidR="00D00C31" w:rsidRPr="002862EA">
        <w:t>przeglądu</w:t>
      </w:r>
      <w:r w:rsidR="00D00C31" w:rsidRPr="002862EA">
        <w:rPr>
          <w:spacing w:val="-16"/>
        </w:rPr>
        <w:t xml:space="preserve"> </w:t>
      </w:r>
      <w:r w:rsidR="00D00C31" w:rsidRPr="002862EA">
        <w:t>gwarancyjnego,</w:t>
      </w:r>
      <w:r w:rsidR="00D00C31" w:rsidRPr="002862EA">
        <w:rPr>
          <w:spacing w:val="-16"/>
        </w:rPr>
        <w:t xml:space="preserve"> </w:t>
      </w:r>
      <w:r w:rsidR="00D00C31" w:rsidRPr="002862EA">
        <w:t>tj.</w:t>
      </w:r>
      <w:r w:rsidR="00D00C31" w:rsidRPr="002862EA">
        <w:rPr>
          <w:spacing w:val="-16"/>
        </w:rPr>
        <w:t xml:space="preserve"> </w:t>
      </w:r>
      <w:r w:rsidR="00D00C31" w:rsidRPr="002862EA">
        <w:t>zgodnie pkt. 12.2, niestawienie się jego przedstawicieli nie będzie wywoływało żadnych ujemnych skutków dla ważności i skuteczności ustaleń dokonanych przez komisję</w:t>
      </w:r>
      <w:r w:rsidR="00D00C31" w:rsidRPr="002862EA">
        <w:rPr>
          <w:spacing w:val="-7"/>
        </w:rPr>
        <w:t xml:space="preserve"> </w:t>
      </w:r>
      <w:r w:rsidR="00D00C31" w:rsidRPr="002862EA">
        <w:t>przeglądową.</w:t>
      </w:r>
    </w:p>
    <w:p w:rsidR="00B051D4" w:rsidRPr="002862EA" w:rsidRDefault="00D00C31" w:rsidP="00715B00">
      <w:pPr>
        <w:pStyle w:val="Akapitzlist"/>
        <w:numPr>
          <w:ilvl w:val="1"/>
          <w:numId w:val="4"/>
        </w:numPr>
        <w:tabs>
          <w:tab w:val="left" w:pos="680"/>
        </w:tabs>
        <w:spacing w:line="259" w:lineRule="auto"/>
        <w:ind w:right="225"/>
        <w:jc w:val="both"/>
      </w:pPr>
      <w:r w:rsidRPr="002862EA">
        <w:t>Z każdego przeglądu gwarancyjnego sporządzany będzie szczegółowy Protokół Przeglądu Gwarancyjnego, w co najmniej dwóch egzemplarzach, po jednym dla Zamawiającego i dla Gwaranta. W przypadku nieobecności przedstawicieli Gwaranta, Zamawiający niezwłocznie prześle Gwarantowi jeden egzemplarz Protokołu Przeglądu Gwarancyjnego.</w:t>
      </w:r>
    </w:p>
    <w:p w:rsidR="00B051D4" w:rsidRPr="002862EA" w:rsidRDefault="00B051D4" w:rsidP="00715B00">
      <w:pPr>
        <w:pStyle w:val="Tekstpodstawowy"/>
        <w:spacing w:before="10"/>
        <w:ind w:right="225"/>
        <w:rPr>
          <w:sz w:val="21"/>
        </w:rPr>
      </w:pPr>
    </w:p>
    <w:p w:rsidR="00B051D4" w:rsidRPr="002862EA" w:rsidRDefault="00D00C31" w:rsidP="00715B00">
      <w:pPr>
        <w:pStyle w:val="Nagwek1"/>
        <w:numPr>
          <w:ilvl w:val="0"/>
          <w:numId w:val="6"/>
        </w:numPr>
        <w:tabs>
          <w:tab w:val="left" w:pos="679"/>
          <w:tab w:val="left" w:pos="680"/>
        </w:tabs>
        <w:spacing w:before="0"/>
        <w:ind w:left="679" w:right="225" w:hanging="568"/>
      </w:pPr>
      <w:r w:rsidRPr="002862EA">
        <w:t>Tryby usuwania</w:t>
      </w:r>
      <w:r w:rsidRPr="002862EA">
        <w:rPr>
          <w:spacing w:val="-1"/>
        </w:rPr>
        <w:t xml:space="preserve"> </w:t>
      </w:r>
      <w:r w:rsidRPr="002862EA">
        <w:t>wad.</w:t>
      </w:r>
    </w:p>
    <w:p w:rsidR="00B051D4" w:rsidRPr="002862EA" w:rsidRDefault="00D00C31" w:rsidP="00715B00">
      <w:pPr>
        <w:pStyle w:val="Akapitzlist"/>
        <w:numPr>
          <w:ilvl w:val="1"/>
          <w:numId w:val="3"/>
        </w:numPr>
        <w:tabs>
          <w:tab w:val="left" w:pos="617"/>
        </w:tabs>
        <w:spacing w:before="18"/>
        <w:ind w:right="225"/>
      </w:pPr>
      <w:r w:rsidRPr="002862EA">
        <w:t>W okresie trwania Umowy do trybów i czasów usuwania wad mają zastosowanie zapisy</w:t>
      </w:r>
      <w:r w:rsidRPr="002862EA">
        <w:rPr>
          <w:spacing w:val="-11"/>
        </w:rPr>
        <w:t xml:space="preserve"> </w:t>
      </w:r>
      <w:r w:rsidRPr="002862EA">
        <w:t>umowy.</w:t>
      </w:r>
    </w:p>
    <w:p w:rsidR="00B051D4" w:rsidRPr="002862EA" w:rsidRDefault="00D00C31" w:rsidP="00715B00">
      <w:pPr>
        <w:pStyle w:val="Akapitzlist"/>
        <w:numPr>
          <w:ilvl w:val="1"/>
          <w:numId w:val="3"/>
        </w:numPr>
        <w:tabs>
          <w:tab w:val="left" w:pos="650"/>
        </w:tabs>
        <w:spacing w:before="180"/>
        <w:ind w:left="679" w:right="225" w:hanging="567"/>
        <w:jc w:val="both"/>
      </w:pPr>
      <w:r w:rsidRPr="002862EA">
        <w:t>Po zakończeniu przedmiotu umowy Gwarant obowiązany jest rozpocząć usuwanie ujawnionej Wady według niżej przedstawionych wymagań technicznych oraz</w:t>
      </w:r>
      <w:r w:rsidRPr="002862EA">
        <w:rPr>
          <w:spacing w:val="-5"/>
        </w:rPr>
        <w:t xml:space="preserve"> </w:t>
      </w:r>
      <w:r w:rsidRPr="002862EA">
        <w:t>czasowych:</w:t>
      </w:r>
    </w:p>
    <w:p w:rsidR="00B051D4" w:rsidRPr="00B33CD3" w:rsidRDefault="00B051D4" w:rsidP="00715B00">
      <w:pPr>
        <w:pStyle w:val="Tekstpodstawowy"/>
        <w:spacing w:before="10"/>
        <w:ind w:right="225"/>
        <w:rPr>
          <w:color w:val="FF0000"/>
          <w:sz w:val="21"/>
        </w:rPr>
      </w:pPr>
    </w:p>
    <w:tbl>
      <w:tblPr>
        <w:tblStyle w:val="TableNormal"/>
        <w:tblW w:w="0" w:type="auto"/>
        <w:tblInd w:w="5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686"/>
        <w:gridCol w:w="3213"/>
      </w:tblGrid>
      <w:tr w:rsidR="00B33CD3" w:rsidRPr="00B33CD3">
        <w:trPr>
          <w:trHeight w:val="620"/>
        </w:trPr>
        <w:tc>
          <w:tcPr>
            <w:tcW w:w="2441" w:type="dxa"/>
          </w:tcPr>
          <w:p w:rsidR="00B051D4" w:rsidRPr="00715B00" w:rsidRDefault="00D00C31" w:rsidP="00715B00">
            <w:pPr>
              <w:pStyle w:val="TableParagraph"/>
              <w:spacing w:before="124"/>
              <w:ind w:left="498" w:right="225"/>
              <w:rPr>
                <w:b/>
              </w:rPr>
            </w:pPr>
            <w:r w:rsidRPr="00715B00">
              <w:rPr>
                <w:b/>
              </w:rPr>
              <w:t>Klasyfikacja wad</w:t>
            </w:r>
          </w:p>
        </w:tc>
        <w:tc>
          <w:tcPr>
            <w:tcW w:w="3686" w:type="dxa"/>
          </w:tcPr>
          <w:p w:rsidR="00B051D4" w:rsidRPr="00715B00" w:rsidRDefault="00D00C31" w:rsidP="00715B00">
            <w:pPr>
              <w:pStyle w:val="TableParagraph"/>
              <w:spacing w:before="124"/>
              <w:ind w:left="1065" w:right="225"/>
              <w:rPr>
                <w:b/>
              </w:rPr>
            </w:pPr>
            <w:r w:rsidRPr="00715B00">
              <w:rPr>
                <w:b/>
              </w:rPr>
              <w:t>Reakcja Gwaranta</w:t>
            </w:r>
          </w:p>
        </w:tc>
        <w:tc>
          <w:tcPr>
            <w:tcW w:w="3213" w:type="dxa"/>
          </w:tcPr>
          <w:p w:rsidR="00B051D4" w:rsidRPr="00715B00" w:rsidRDefault="00D00C31" w:rsidP="00715B00">
            <w:pPr>
              <w:pStyle w:val="TableParagraph"/>
              <w:spacing w:before="124"/>
              <w:ind w:left="597" w:right="225"/>
              <w:rPr>
                <w:b/>
              </w:rPr>
            </w:pPr>
            <w:r w:rsidRPr="00715B00">
              <w:rPr>
                <w:b/>
              </w:rPr>
              <w:t>Wymagany czas reakcji</w:t>
            </w:r>
          </w:p>
        </w:tc>
      </w:tr>
      <w:tr w:rsidR="00B33CD3" w:rsidRPr="00B33CD3">
        <w:trPr>
          <w:trHeight w:val="804"/>
        </w:trPr>
        <w:tc>
          <w:tcPr>
            <w:tcW w:w="2441" w:type="dxa"/>
            <w:vMerge w:val="restart"/>
          </w:tcPr>
          <w:p w:rsidR="00B051D4" w:rsidRPr="00715B00" w:rsidRDefault="00D00C31" w:rsidP="00715B00">
            <w:pPr>
              <w:pStyle w:val="TableParagraph"/>
              <w:spacing w:before="1"/>
              <w:ind w:left="107" w:right="225"/>
            </w:pPr>
            <w:r w:rsidRPr="00715B00">
              <w:t>Wady istotne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tabs>
                <w:tab w:val="left" w:pos="805"/>
              </w:tabs>
              <w:spacing w:before="1"/>
              <w:ind w:left="239" w:right="225"/>
            </w:pPr>
            <w:r w:rsidRPr="00715B00">
              <w:t>1.</w:t>
            </w:r>
            <w:r w:rsidRPr="00715B00">
              <w:tab/>
              <w:t>Potwierdzenie przyjęcia</w:t>
            </w:r>
          </w:p>
          <w:p w:rsidR="00B051D4" w:rsidRPr="00715B00" w:rsidRDefault="00D00C31" w:rsidP="00715B00">
            <w:pPr>
              <w:pStyle w:val="TableParagraph"/>
              <w:spacing w:line="270" w:lineRule="atLeast"/>
              <w:ind w:left="805" w:right="225"/>
            </w:pPr>
            <w:r w:rsidRPr="00715B00">
              <w:t>zgłoszenia i określenie sposobu usunięcia Wady</w:t>
            </w:r>
          </w:p>
        </w:tc>
        <w:tc>
          <w:tcPr>
            <w:tcW w:w="3213" w:type="dxa"/>
            <w:tcBorders>
              <w:bottom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spacing w:before="1" w:line="259" w:lineRule="auto"/>
              <w:ind w:right="225"/>
            </w:pPr>
            <w:r w:rsidRPr="00715B00">
              <w:t>2 dni robocze od chwili powiadomienia</w:t>
            </w:r>
          </w:p>
        </w:tc>
      </w:tr>
      <w:tr w:rsidR="00B33CD3" w:rsidRPr="00B33CD3">
        <w:trPr>
          <w:trHeight w:val="828"/>
        </w:trPr>
        <w:tc>
          <w:tcPr>
            <w:tcW w:w="2441" w:type="dxa"/>
            <w:vMerge/>
            <w:tcBorders>
              <w:top w:val="nil"/>
            </w:tcBorders>
          </w:tcPr>
          <w:p w:rsidR="00B051D4" w:rsidRPr="00715B00" w:rsidRDefault="00B051D4" w:rsidP="00715B00">
            <w:pPr>
              <w:ind w:right="225"/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tabs>
                <w:tab w:val="left" w:pos="805"/>
              </w:tabs>
              <w:spacing w:before="16"/>
              <w:ind w:left="239" w:right="225"/>
            </w:pPr>
            <w:r w:rsidRPr="00715B00">
              <w:t>2.</w:t>
            </w:r>
            <w:r w:rsidRPr="00715B00">
              <w:tab/>
              <w:t>Całkowite usunięcie</w:t>
            </w:r>
            <w:r w:rsidRPr="00715B00">
              <w:rPr>
                <w:spacing w:val="-2"/>
              </w:rPr>
              <w:t xml:space="preserve"> </w:t>
            </w:r>
            <w:r w:rsidRPr="00715B00">
              <w:t>Wady</w:t>
            </w:r>
          </w:p>
        </w:tc>
        <w:tc>
          <w:tcPr>
            <w:tcW w:w="3213" w:type="dxa"/>
            <w:tcBorders>
              <w:top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spacing w:before="16"/>
              <w:ind w:right="225"/>
            </w:pPr>
            <w:r w:rsidRPr="00715B00">
              <w:t>Zgodnie ze wskazanym przez</w:t>
            </w:r>
          </w:p>
          <w:p w:rsidR="00B051D4" w:rsidRPr="00715B00" w:rsidRDefault="00D00C31" w:rsidP="00715B00">
            <w:pPr>
              <w:pStyle w:val="TableParagraph"/>
              <w:spacing w:before="19"/>
              <w:ind w:right="225"/>
            </w:pPr>
            <w:r w:rsidRPr="00715B00">
              <w:t>Zamawiającego w powiadomieniu</w:t>
            </w:r>
          </w:p>
          <w:p w:rsidR="00B051D4" w:rsidRPr="00715B00" w:rsidRDefault="00D00C31" w:rsidP="00715B00">
            <w:pPr>
              <w:pStyle w:val="TableParagraph"/>
              <w:spacing w:before="21" w:line="248" w:lineRule="exact"/>
              <w:ind w:right="225"/>
            </w:pPr>
            <w:r w:rsidRPr="00715B00">
              <w:t>terminem na usuniecie wady</w:t>
            </w:r>
          </w:p>
        </w:tc>
      </w:tr>
      <w:tr w:rsidR="00B33CD3" w:rsidRPr="00B33CD3">
        <w:trPr>
          <w:trHeight w:val="807"/>
        </w:trPr>
        <w:tc>
          <w:tcPr>
            <w:tcW w:w="2441" w:type="dxa"/>
            <w:vMerge w:val="restart"/>
          </w:tcPr>
          <w:p w:rsidR="00B051D4" w:rsidRPr="00715B00" w:rsidRDefault="00D00C31" w:rsidP="00715B00">
            <w:pPr>
              <w:pStyle w:val="TableParagraph"/>
              <w:ind w:left="107" w:right="225"/>
            </w:pPr>
            <w:r w:rsidRPr="00715B00">
              <w:t>Wady nieistotne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tabs>
                <w:tab w:val="left" w:pos="805"/>
              </w:tabs>
              <w:ind w:left="239" w:right="225"/>
            </w:pPr>
            <w:r w:rsidRPr="00715B00">
              <w:t>1.</w:t>
            </w:r>
            <w:r w:rsidRPr="00715B00">
              <w:tab/>
              <w:t>Potwierdzenie</w:t>
            </w:r>
            <w:r w:rsidRPr="00715B00">
              <w:rPr>
                <w:spacing w:val="-1"/>
              </w:rPr>
              <w:t xml:space="preserve"> </w:t>
            </w:r>
            <w:r w:rsidRPr="00715B00">
              <w:t>przyjęcia</w:t>
            </w:r>
          </w:p>
          <w:p w:rsidR="00B051D4" w:rsidRPr="00715B00" w:rsidRDefault="00D00C31" w:rsidP="00715B00">
            <w:pPr>
              <w:pStyle w:val="TableParagraph"/>
              <w:spacing w:before="3" w:line="270" w:lineRule="atLeast"/>
              <w:ind w:left="805" w:right="225"/>
            </w:pPr>
            <w:r w:rsidRPr="00715B00">
              <w:t>zgłoszenia i określenie sposobu usunięcia Wady</w:t>
            </w:r>
          </w:p>
        </w:tc>
        <w:tc>
          <w:tcPr>
            <w:tcW w:w="3213" w:type="dxa"/>
            <w:tcBorders>
              <w:bottom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spacing w:line="259" w:lineRule="auto"/>
              <w:ind w:right="225"/>
            </w:pPr>
            <w:r w:rsidRPr="00715B00">
              <w:t>5 dni roboczych od chwili powiadomienia</w:t>
            </w:r>
          </w:p>
        </w:tc>
      </w:tr>
      <w:tr w:rsidR="00715B00" w:rsidRPr="00B33CD3">
        <w:trPr>
          <w:trHeight w:val="804"/>
        </w:trPr>
        <w:tc>
          <w:tcPr>
            <w:tcW w:w="2441" w:type="dxa"/>
            <w:vMerge/>
            <w:tcBorders>
              <w:top w:val="nil"/>
            </w:tcBorders>
          </w:tcPr>
          <w:p w:rsidR="00B051D4" w:rsidRPr="00715B00" w:rsidRDefault="00B051D4" w:rsidP="00715B00">
            <w:pPr>
              <w:ind w:right="225"/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tabs>
                <w:tab w:val="left" w:pos="805"/>
              </w:tabs>
              <w:spacing w:before="0" w:line="242" w:lineRule="exact"/>
              <w:ind w:left="239" w:right="225"/>
            </w:pPr>
            <w:r w:rsidRPr="00715B00">
              <w:t>2.</w:t>
            </w:r>
            <w:r w:rsidRPr="00715B00">
              <w:tab/>
              <w:t>Całkowite usunięcie</w:t>
            </w:r>
            <w:r w:rsidRPr="00715B00">
              <w:rPr>
                <w:spacing w:val="-2"/>
              </w:rPr>
              <w:t xml:space="preserve"> </w:t>
            </w:r>
            <w:r w:rsidRPr="00715B00">
              <w:t>wady</w:t>
            </w:r>
          </w:p>
        </w:tc>
        <w:tc>
          <w:tcPr>
            <w:tcW w:w="3213" w:type="dxa"/>
            <w:tcBorders>
              <w:top w:val="single" w:sz="8" w:space="0" w:color="000000"/>
            </w:tcBorders>
          </w:tcPr>
          <w:p w:rsidR="00B051D4" w:rsidRPr="00715B00" w:rsidRDefault="00D00C31" w:rsidP="00715B00">
            <w:pPr>
              <w:pStyle w:val="TableParagraph"/>
              <w:spacing w:before="0" w:line="242" w:lineRule="exact"/>
              <w:ind w:right="225"/>
            </w:pPr>
            <w:r w:rsidRPr="00715B00">
              <w:t>Zgodnie ze wskazanym przez</w:t>
            </w:r>
          </w:p>
          <w:p w:rsidR="00B051D4" w:rsidRPr="00715B00" w:rsidRDefault="00D00C31" w:rsidP="00715B00">
            <w:pPr>
              <w:pStyle w:val="TableParagraph"/>
              <w:spacing w:before="5" w:line="274" w:lineRule="exact"/>
              <w:ind w:right="225"/>
            </w:pPr>
            <w:r w:rsidRPr="00715B00">
              <w:t>Zamawiającego w powiadomieniu terminem na usunięcie wady.</w:t>
            </w:r>
          </w:p>
        </w:tc>
      </w:tr>
    </w:tbl>
    <w:p w:rsidR="00B051D4" w:rsidRPr="002862EA" w:rsidRDefault="00B051D4" w:rsidP="00715B00">
      <w:pPr>
        <w:pStyle w:val="Tekstpodstawowy"/>
        <w:spacing w:before="11"/>
        <w:ind w:right="225"/>
        <w:rPr>
          <w:sz w:val="21"/>
        </w:rPr>
      </w:pPr>
    </w:p>
    <w:p w:rsidR="00B051D4" w:rsidRPr="002862EA" w:rsidRDefault="00D00C31" w:rsidP="00715B00">
      <w:pPr>
        <w:pStyle w:val="Akapitzlist"/>
        <w:numPr>
          <w:ilvl w:val="1"/>
          <w:numId w:val="3"/>
        </w:numPr>
        <w:tabs>
          <w:tab w:val="left" w:pos="629"/>
        </w:tabs>
        <w:ind w:left="679" w:right="225" w:hanging="567"/>
        <w:jc w:val="both"/>
      </w:pPr>
      <w:r w:rsidRPr="002862EA">
        <w:t>Powiadomienia dokonuje Zamawiający poprzez przekazanie odpowiedniej informacji osobie wskazanej przez Gwaranta.</w:t>
      </w:r>
    </w:p>
    <w:p w:rsidR="00B051D4" w:rsidRPr="002862EA" w:rsidRDefault="00D00C31" w:rsidP="00541323">
      <w:pPr>
        <w:pStyle w:val="Akapitzlist"/>
        <w:numPr>
          <w:ilvl w:val="1"/>
          <w:numId w:val="3"/>
        </w:numPr>
        <w:tabs>
          <w:tab w:val="left" w:pos="569"/>
        </w:tabs>
        <w:spacing w:before="2" w:line="252" w:lineRule="exact"/>
        <w:ind w:left="679" w:right="225" w:hanging="537"/>
        <w:jc w:val="both"/>
      </w:pPr>
      <w:r w:rsidRPr="002862EA">
        <w:t>Zamawiający jest uprawniony do zmiany wskazanych terminów, uwzględniając technologie usuwania Wady i</w:t>
      </w:r>
      <w:r w:rsidRPr="002862EA">
        <w:rPr>
          <w:spacing w:val="-7"/>
        </w:rPr>
        <w:t xml:space="preserve"> </w:t>
      </w:r>
      <w:r w:rsidRPr="002862EA">
        <w:t>zasady</w:t>
      </w:r>
      <w:r w:rsidR="002862EA" w:rsidRPr="002862EA">
        <w:t xml:space="preserve"> </w:t>
      </w:r>
      <w:r w:rsidRPr="002862EA">
        <w:t>sztuki budowlanej.</w:t>
      </w:r>
    </w:p>
    <w:p w:rsidR="00B051D4" w:rsidRDefault="00D00C31" w:rsidP="00715B00">
      <w:pPr>
        <w:pStyle w:val="Akapitzlist"/>
        <w:numPr>
          <w:ilvl w:val="1"/>
          <w:numId w:val="3"/>
        </w:numPr>
        <w:tabs>
          <w:tab w:val="left" w:pos="579"/>
        </w:tabs>
        <w:ind w:left="679" w:right="225" w:hanging="567"/>
        <w:jc w:val="both"/>
      </w:pPr>
      <w:r w:rsidRPr="002862EA">
        <w:t>Usuniecie Wady uważa się za skuteczne z chwilą podpisania przez obie strony Protokołu odbioru prac z usuwania Wady. W protokole Strony potwierdza także termin usunięcia</w:t>
      </w:r>
      <w:r w:rsidRPr="002862EA">
        <w:rPr>
          <w:spacing w:val="-5"/>
        </w:rPr>
        <w:t xml:space="preserve"> </w:t>
      </w:r>
      <w:r w:rsidRPr="002862EA">
        <w:t>Wady.</w:t>
      </w:r>
    </w:p>
    <w:p w:rsidR="00B051D4" w:rsidRPr="002862EA" w:rsidRDefault="00D00C31" w:rsidP="00715B00">
      <w:pPr>
        <w:pStyle w:val="Akapitzlist"/>
        <w:numPr>
          <w:ilvl w:val="1"/>
          <w:numId w:val="3"/>
        </w:numPr>
        <w:tabs>
          <w:tab w:val="left" w:pos="576"/>
        </w:tabs>
        <w:ind w:left="679" w:right="225" w:hanging="567"/>
        <w:jc w:val="both"/>
      </w:pPr>
      <w:r w:rsidRPr="002862EA">
        <w:t xml:space="preserve">Jeżeli Gwarant nie wypełni obowiązku usunięcia Wady w uzgodnionym terminie, Zamawiający będzie upoważniony do zlecenia usunięcia Wady podmiotowi trzeciemu, a Gwarant zostanie obciążony kosztami takiego zlecenia, bez utraty uprawnień wynikających z tytułu Gwarancji i </w:t>
      </w:r>
      <w:r w:rsidRPr="002862EA">
        <w:lastRenderedPageBreak/>
        <w:t>Rękojmi za</w:t>
      </w:r>
      <w:r w:rsidRPr="002862EA">
        <w:rPr>
          <w:spacing w:val="-7"/>
        </w:rPr>
        <w:t xml:space="preserve"> </w:t>
      </w:r>
      <w:r w:rsidRPr="002862EA">
        <w:t>Wady.</w:t>
      </w:r>
    </w:p>
    <w:p w:rsidR="00B051D4" w:rsidRPr="002862EA" w:rsidRDefault="00D00C31" w:rsidP="00715B00">
      <w:pPr>
        <w:pStyle w:val="Akapitzlist"/>
        <w:numPr>
          <w:ilvl w:val="1"/>
          <w:numId w:val="3"/>
        </w:numPr>
        <w:tabs>
          <w:tab w:val="left" w:pos="581"/>
        </w:tabs>
        <w:ind w:left="679" w:right="225" w:hanging="567"/>
        <w:jc w:val="both"/>
      </w:pPr>
      <w:r w:rsidRPr="002862EA">
        <w:t>Gwarant jest odpowiedzialny za wszelkie szkody i straty, które spowodował w czasie trwania prac nad usuwaniem Wad.</w:t>
      </w:r>
    </w:p>
    <w:p w:rsidR="00B051D4" w:rsidRPr="00B33CD3" w:rsidRDefault="00B051D4" w:rsidP="00715B00">
      <w:pPr>
        <w:pStyle w:val="Tekstpodstawowy"/>
        <w:spacing w:before="6"/>
        <w:ind w:right="225"/>
        <w:rPr>
          <w:color w:val="FF0000"/>
          <w:sz w:val="13"/>
        </w:rPr>
      </w:pPr>
    </w:p>
    <w:p w:rsidR="00B051D4" w:rsidRPr="00715B00" w:rsidRDefault="00D00C31" w:rsidP="00715B00">
      <w:pPr>
        <w:pStyle w:val="Nagwek1"/>
        <w:numPr>
          <w:ilvl w:val="0"/>
          <w:numId w:val="6"/>
        </w:numPr>
        <w:tabs>
          <w:tab w:val="left" w:pos="541"/>
        </w:tabs>
        <w:spacing w:before="100"/>
        <w:ind w:left="540" w:right="225" w:hanging="429"/>
        <w:jc w:val="both"/>
      </w:pPr>
      <w:r w:rsidRPr="00715B00">
        <w:t>Komunikacja</w:t>
      </w:r>
    </w:p>
    <w:p w:rsidR="00B051D4" w:rsidRPr="00715B00" w:rsidRDefault="00D00C31" w:rsidP="00715B00">
      <w:pPr>
        <w:pStyle w:val="Akapitzlist"/>
        <w:numPr>
          <w:ilvl w:val="1"/>
          <w:numId w:val="2"/>
        </w:numPr>
        <w:tabs>
          <w:tab w:val="left" w:pos="581"/>
        </w:tabs>
        <w:spacing w:before="17"/>
        <w:ind w:right="225" w:hanging="567"/>
        <w:jc w:val="both"/>
      </w:pPr>
      <w:r w:rsidRPr="00715B00">
        <w:t>O każdej Wadzie osoba wyznaczona przez Zamawiającego powiadamia telefonicznie przedstawiciela Gwaranta, a następnie wysyła zgłoszenie faksem lub pocztą elektroniczną na wskazane przez Gwaranta numery telefonów i adresy.</w:t>
      </w:r>
      <w:r w:rsidRPr="00715B00">
        <w:rPr>
          <w:spacing w:val="-6"/>
        </w:rPr>
        <w:t xml:space="preserve"> </w:t>
      </w:r>
      <w:r w:rsidRPr="00715B00">
        <w:t>Potwierdzenie</w:t>
      </w:r>
      <w:r w:rsidRPr="00715B00">
        <w:rPr>
          <w:spacing w:val="-5"/>
        </w:rPr>
        <w:t xml:space="preserve"> </w:t>
      </w:r>
      <w:r w:rsidRPr="00715B00">
        <w:t>zgłoszenia</w:t>
      </w:r>
      <w:r w:rsidRPr="00715B00">
        <w:rPr>
          <w:spacing w:val="-2"/>
        </w:rPr>
        <w:t xml:space="preserve"> </w:t>
      </w:r>
      <w:r w:rsidRPr="00715B00">
        <w:t>przesyłane</w:t>
      </w:r>
      <w:r w:rsidRPr="00715B00">
        <w:rPr>
          <w:spacing w:val="-6"/>
        </w:rPr>
        <w:t xml:space="preserve"> </w:t>
      </w:r>
      <w:r w:rsidRPr="00715B00">
        <w:t>jest</w:t>
      </w:r>
      <w:r w:rsidRPr="00715B00">
        <w:rPr>
          <w:spacing w:val="-2"/>
        </w:rPr>
        <w:t xml:space="preserve"> </w:t>
      </w:r>
      <w:r w:rsidRPr="00715B00">
        <w:t>również</w:t>
      </w:r>
      <w:r w:rsidRPr="00715B00">
        <w:rPr>
          <w:spacing w:val="-4"/>
        </w:rPr>
        <w:t xml:space="preserve"> </w:t>
      </w:r>
      <w:r w:rsidRPr="00715B00">
        <w:t>faksem</w:t>
      </w:r>
      <w:r w:rsidRPr="00715B00">
        <w:rPr>
          <w:spacing w:val="-5"/>
        </w:rPr>
        <w:t xml:space="preserve"> </w:t>
      </w:r>
      <w:r w:rsidRPr="00715B00">
        <w:t>lub</w:t>
      </w:r>
      <w:r w:rsidRPr="00715B00">
        <w:rPr>
          <w:spacing w:val="-2"/>
        </w:rPr>
        <w:t xml:space="preserve"> </w:t>
      </w:r>
      <w:r w:rsidRPr="00715B00">
        <w:t>pocztą</w:t>
      </w:r>
      <w:r w:rsidRPr="00715B00">
        <w:rPr>
          <w:spacing w:val="-2"/>
        </w:rPr>
        <w:t xml:space="preserve"> </w:t>
      </w:r>
      <w:r w:rsidRPr="00715B00">
        <w:t>elektroniczna</w:t>
      </w:r>
      <w:r w:rsidRPr="00715B00">
        <w:rPr>
          <w:spacing w:val="-6"/>
        </w:rPr>
        <w:t xml:space="preserve"> </w:t>
      </w:r>
      <w:r w:rsidRPr="00715B00">
        <w:t>do</w:t>
      </w:r>
      <w:r w:rsidRPr="00715B00">
        <w:rPr>
          <w:spacing w:val="-2"/>
        </w:rPr>
        <w:t xml:space="preserve"> </w:t>
      </w:r>
      <w:r w:rsidRPr="00715B00">
        <w:t>Zamawiającego.</w:t>
      </w:r>
    </w:p>
    <w:p w:rsidR="00B051D4" w:rsidRPr="00715B00" w:rsidRDefault="00D00C31" w:rsidP="00715B00">
      <w:pPr>
        <w:pStyle w:val="Akapitzlist"/>
        <w:numPr>
          <w:ilvl w:val="1"/>
          <w:numId w:val="2"/>
        </w:numPr>
        <w:tabs>
          <w:tab w:val="left" w:pos="634"/>
        </w:tabs>
        <w:spacing w:before="1"/>
        <w:ind w:right="225" w:hanging="567"/>
        <w:jc w:val="both"/>
      </w:pPr>
      <w:r w:rsidRPr="00715B00">
        <w:t>Zarówno Zamawiający jak i Gwarant sporządzą wykaz osób upoważnionych do kontaktów, przekazywania, przyjmowania powiadomień o wadach i potwierdzania przyjęcia powiadomienia o Wadzie. O każdej zmianie takich osób, strony zobowiązane są informować się niezwłocznie, pod rygorem uznania przekazanej informacji do wcześniej wskazanej osoby za skutecznie</w:t>
      </w:r>
      <w:r w:rsidRPr="00715B00">
        <w:rPr>
          <w:spacing w:val="-7"/>
        </w:rPr>
        <w:t xml:space="preserve"> </w:t>
      </w:r>
      <w:r w:rsidRPr="00715B00">
        <w:t>dokonane.</w:t>
      </w:r>
    </w:p>
    <w:p w:rsidR="00B051D4" w:rsidRPr="00715B00" w:rsidRDefault="00D00C31" w:rsidP="00715B00">
      <w:pPr>
        <w:pStyle w:val="Akapitzlist"/>
        <w:numPr>
          <w:ilvl w:val="1"/>
          <w:numId w:val="2"/>
        </w:numPr>
        <w:tabs>
          <w:tab w:val="left" w:pos="617"/>
        </w:tabs>
        <w:spacing w:line="203" w:lineRule="exact"/>
        <w:ind w:left="616" w:right="225" w:hanging="505"/>
        <w:jc w:val="both"/>
      </w:pPr>
      <w:r w:rsidRPr="00715B00">
        <w:t>Wszelka komunikacja pomiędzy stronami potwierdzona zostanie w formie</w:t>
      </w:r>
      <w:r w:rsidRPr="00715B00">
        <w:rPr>
          <w:spacing w:val="-10"/>
        </w:rPr>
        <w:t xml:space="preserve"> </w:t>
      </w:r>
      <w:r w:rsidRPr="00715B00">
        <w:t>pisemnej.</w:t>
      </w:r>
    </w:p>
    <w:p w:rsidR="002862EA" w:rsidRPr="00715B00" w:rsidRDefault="00D00C31" w:rsidP="00715B00">
      <w:pPr>
        <w:pStyle w:val="Akapitzlist"/>
        <w:numPr>
          <w:ilvl w:val="1"/>
          <w:numId w:val="2"/>
        </w:numPr>
        <w:tabs>
          <w:tab w:val="left" w:pos="617"/>
          <w:tab w:val="right" w:pos="10173"/>
        </w:tabs>
        <w:spacing w:before="90" w:line="302" w:lineRule="exact"/>
        <w:ind w:right="225" w:hanging="567"/>
        <w:jc w:val="both"/>
      </w:pPr>
      <w:r w:rsidRPr="00715B00">
        <w:t>Wszelkie pisma, kierowane będą przez strony na adresy podane</w:t>
      </w:r>
      <w:r w:rsidRPr="00715B00">
        <w:rPr>
          <w:spacing w:val="-4"/>
        </w:rPr>
        <w:t xml:space="preserve"> </w:t>
      </w:r>
      <w:r w:rsidRPr="00715B00">
        <w:t>w</w:t>
      </w:r>
      <w:r w:rsidRPr="00715B00">
        <w:rPr>
          <w:spacing w:val="-1"/>
        </w:rPr>
        <w:t xml:space="preserve"> </w:t>
      </w:r>
      <w:r w:rsidRPr="00715B00">
        <w:t>Umowie.</w:t>
      </w:r>
    </w:p>
    <w:p w:rsidR="00B051D4" w:rsidRPr="00715B00" w:rsidRDefault="00815263" w:rsidP="00715B00">
      <w:pPr>
        <w:pStyle w:val="Akapitzlist"/>
        <w:numPr>
          <w:ilvl w:val="1"/>
          <w:numId w:val="2"/>
        </w:numPr>
        <w:tabs>
          <w:tab w:val="left" w:pos="617"/>
          <w:tab w:val="right" w:pos="10173"/>
        </w:tabs>
        <w:spacing w:before="90" w:line="302" w:lineRule="exact"/>
        <w:ind w:right="225" w:hanging="567"/>
        <w:jc w:val="both"/>
      </w:pPr>
      <w:r>
        <w:pict>
          <v:rect id="_x0000_s1026" style="position:absolute;left:0;text-align:left;margin-left:529.65pt;margin-top:739.2pt;width:61.2pt;height:.5pt;z-index:15730176;mso-position-horizontal-relative:page;mso-position-vertical-relative:page" fillcolor="#d7d7d7" stroked="f">
            <w10:wrap anchorx="page" anchory="page"/>
          </v:rect>
        </w:pict>
      </w:r>
      <w:r w:rsidR="00D00C31" w:rsidRPr="00715B00">
        <w:t>O zmianach w danych adresowych, o których mowa w pkt. 14.4 powyżej strony obowiązane są informować niezwłocznie, nie później niż 7 dni od chwili zaistnienia zmian, pod rygorem uznania wysłania korespondencji pod ostatnio znany adres za skutecznie</w:t>
      </w:r>
      <w:r w:rsidR="00D00C31" w:rsidRPr="00715B00">
        <w:rPr>
          <w:spacing w:val="-6"/>
        </w:rPr>
        <w:t xml:space="preserve"> </w:t>
      </w:r>
      <w:r w:rsidR="00D00C31" w:rsidRPr="00715B00">
        <w:t>doręczoną.</w:t>
      </w:r>
    </w:p>
    <w:p w:rsidR="00B051D4" w:rsidRPr="00715B00" w:rsidRDefault="00D00C31" w:rsidP="00541323">
      <w:pPr>
        <w:pStyle w:val="Akapitzlist"/>
        <w:numPr>
          <w:ilvl w:val="1"/>
          <w:numId w:val="2"/>
        </w:numPr>
        <w:tabs>
          <w:tab w:val="left" w:pos="583"/>
        </w:tabs>
        <w:spacing w:before="1" w:line="252" w:lineRule="exact"/>
        <w:ind w:right="225" w:hanging="537"/>
        <w:jc w:val="both"/>
      </w:pPr>
      <w:r w:rsidRPr="00715B00">
        <w:t>Gwarant</w:t>
      </w:r>
      <w:r w:rsidRPr="00715B00">
        <w:rPr>
          <w:spacing w:val="14"/>
        </w:rPr>
        <w:t xml:space="preserve"> </w:t>
      </w:r>
      <w:r w:rsidRPr="00715B00">
        <w:t>jest</w:t>
      </w:r>
      <w:r w:rsidRPr="00715B00">
        <w:rPr>
          <w:spacing w:val="14"/>
        </w:rPr>
        <w:t xml:space="preserve"> </w:t>
      </w:r>
      <w:r w:rsidRPr="00715B00">
        <w:t>zobowiązany</w:t>
      </w:r>
      <w:r w:rsidRPr="00715B00">
        <w:rPr>
          <w:spacing w:val="15"/>
        </w:rPr>
        <w:t xml:space="preserve"> </w:t>
      </w:r>
      <w:r w:rsidRPr="00715B00">
        <w:t>w</w:t>
      </w:r>
      <w:r w:rsidRPr="00715B00">
        <w:rPr>
          <w:spacing w:val="13"/>
        </w:rPr>
        <w:t xml:space="preserve"> </w:t>
      </w:r>
      <w:r w:rsidRPr="00715B00">
        <w:t>terminie</w:t>
      </w:r>
      <w:r w:rsidRPr="00715B00">
        <w:rPr>
          <w:spacing w:val="15"/>
        </w:rPr>
        <w:t xml:space="preserve"> </w:t>
      </w:r>
      <w:r w:rsidRPr="00715B00">
        <w:t>7</w:t>
      </w:r>
      <w:r w:rsidRPr="00715B00">
        <w:rPr>
          <w:spacing w:val="14"/>
        </w:rPr>
        <w:t xml:space="preserve"> </w:t>
      </w:r>
      <w:r w:rsidRPr="00715B00">
        <w:t>dni</w:t>
      </w:r>
      <w:r w:rsidRPr="00715B00">
        <w:rPr>
          <w:spacing w:val="15"/>
        </w:rPr>
        <w:t xml:space="preserve"> </w:t>
      </w:r>
      <w:r w:rsidRPr="00715B00">
        <w:t>od</w:t>
      </w:r>
      <w:r w:rsidRPr="00715B00">
        <w:rPr>
          <w:spacing w:val="14"/>
        </w:rPr>
        <w:t xml:space="preserve"> </w:t>
      </w:r>
      <w:r w:rsidRPr="00715B00">
        <w:t>daty</w:t>
      </w:r>
      <w:r w:rsidRPr="00715B00">
        <w:rPr>
          <w:spacing w:val="15"/>
        </w:rPr>
        <w:t xml:space="preserve"> </w:t>
      </w:r>
      <w:r w:rsidRPr="00715B00">
        <w:t>złożenia</w:t>
      </w:r>
      <w:r w:rsidRPr="00715B00">
        <w:rPr>
          <w:spacing w:val="15"/>
        </w:rPr>
        <w:t xml:space="preserve"> </w:t>
      </w:r>
      <w:r w:rsidRPr="00715B00">
        <w:t>wniosku</w:t>
      </w:r>
      <w:r w:rsidRPr="00715B00">
        <w:rPr>
          <w:spacing w:val="14"/>
        </w:rPr>
        <w:t xml:space="preserve"> </w:t>
      </w:r>
      <w:r w:rsidRPr="00715B00">
        <w:t>o</w:t>
      </w:r>
      <w:r w:rsidRPr="00715B00">
        <w:rPr>
          <w:spacing w:val="14"/>
        </w:rPr>
        <w:t xml:space="preserve"> </w:t>
      </w:r>
      <w:r w:rsidRPr="00715B00">
        <w:t>upadłość</w:t>
      </w:r>
      <w:r w:rsidRPr="00715B00">
        <w:rPr>
          <w:spacing w:val="15"/>
        </w:rPr>
        <w:t xml:space="preserve"> </w:t>
      </w:r>
      <w:r w:rsidRPr="00715B00">
        <w:t>lub</w:t>
      </w:r>
      <w:r w:rsidRPr="00715B00">
        <w:rPr>
          <w:spacing w:val="14"/>
        </w:rPr>
        <w:t xml:space="preserve"> </w:t>
      </w:r>
      <w:r w:rsidRPr="00715B00">
        <w:t>likwidację</w:t>
      </w:r>
      <w:r w:rsidRPr="00715B00">
        <w:rPr>
          <w:spacing w:val="16"/>
        </w:rPr>
        <w:t xml:space="preserve"> </w:t>
      </w:r>
      <w:r w:rsidRPr="00715B00">
        <w:t>powiadomić</w:t>
      </w:r>
      <w:r w:rsidRPr="00715B00">
        <w:rPr>
          <w:spacing w:val="15"/>
        </w:rPr>
        <w:t xml:space="preserve"> </w:t>
      </w:r>
      <w:r w:rsidRPr="00715B00">
        <w:t>o</w:t>
      </w:r>
      <w:r w:rsidRPr="00715B00">
        <w:rPr>
          <w:spacing w:val="26"/>
        </w:rPr>
        <w:t xml:space="preserve"> </w:t>
      </w:r>
      <w:r w:rsidRPr="00715B00">
        <w:t>tym</w:t>
      </w:r>
      <w:r w:rsidR="002862EA" w:rsidRPr="00715B00">
        <w:t xml:space="preserve"> </w:t>
      </w:r>
      <w:r w:rsidRPr="00715B00">
        <w:t>fakcie Zamawiającego.</w:t>
      </w:r>
    </w:p>
    <w:p w:rsidR="00B051D4" w:rsidRPr="00715B00" w:rsidRDefault="00B051D4" w:rsidP="00715B00">
      <w:pPr>
        <w:pStyle w:val="Tekstpodstawowy"/>
        <w:spacing w:before="1"/>
        <w:ind w:right="225"/>
      </w:pPr>
    </w:p>
    <w:p w:rsidR="00B051D4" w:rsidRPr="00715B00" w:rsidRDefault="00D00C31" w:rsidP="00715B00">
      <w:pPr>
        <w:pStyle w:val="Nagwek1"/>
        <w:numPr>
          <w:ilvl w:val="0"/>
          <w:numId w:val="6"/>
        </w:numPr>
        <w:tabs>
          <w:tab w:val="left" w:pos="679"/>
          <w:tab w:val="left" w:pos="680"/>
        </w:tabs>
        <w:ind w:left="679" w:right="225" w:hanging="568"/>
      </w:pPr>
      <w:r w:rsidRPr="00715B00">
        <w:t>Postanowienia</w:t>
      </w:r>
      <w:r w:rsidRPr="00715B00">
        <w:rPr>
          <w:spacing w:val="-1"/>
        </w:rPr>
        <w:t xml:space="preserve"> </w:t>
      </w:r>
      <w:r w:rsidRPr="00715B00">
        <w:t>końcowe</w:t>
      </w:r>
    </w:p>
    <w:p w:rsidR="00B051D4" w:rsidRPr="00715B00" w:rsidRDefault="00D00C31" w:rsidP="00715B00">
      <w:pPr>
        <w:pStyle w:val="Akapitzlist"/>
        <w:numPr>
          <w:ilvl w:val="1"/>
          <w:numId w:val="1"/>
        </w:numPr>
        <w:tabs>
          <w:tab w:val="left" w:pos="583"/>
        </w:tabs>
        <w:spacing w:before="18"/>
        <w:ind w:right="225" w:hanging="567"/>
      </w:pPr>
      <w:r w:rsidRPr="00715B00">
        <w:t>W sprawach nieuregulowanych niniejsza Gwarancją zastosowanie mają odpowiednie przepisy prawa polskiego, w szczególności kodeksu</w:t>
      </w:r>
      <w:r w:rsidRPr="00715B00">
        <w:rPr>
          <w:spacing w:val="-4"/>
        </w:rPr>
        <w:t xml:space="preserve"> </w:t>
      </w:r>
      <w:r w:rsidRPr="00715B00">
        <w:t>cywilnego.</w:t>
      </w:r>
    </w:p>
    <w:p w:rsidR="00B051D4" w:rsidRPr="00715B00" w:rsidRDefault="00D00C31" w:rsidP="00715B00">
      <w:pPr>
        <w:pStyle w:val="Akapitzlist"/>
        <w:numPr>
          <w:ilvl w:val="1"/>
          <w:numId w:val="1"/>
        </w:numPr>
        <w:tabs>
          <w:tab w:val="left" w:pos="566"/>
        </w:tabs>
        <w:spacing w:line="252" w:lineRule="exact"/>
        <w:ind w:left="565" w:right="225" w:hanging="454"/>
      </w:pPr>
      <w:r w:rsidRPr="00715B00">
        <w:t>Niniejsza Karta gwarancyjna stanowi integralną część</w:t>
      </w:r>
      <w:r w:rsidRPr="00715B00">
        <w:rPr>
          <w:spacing w:val="-14"/>
        </w:rPr>
        <w:t xml:space="preserve"> </w:t>
      </w:r>
      <w:r w:rsidRPr="00715B00">
        <w:t>Umowy.</w:t>
      </w:r>
    </w:p>
    <w:p w:rsidR="00B051D4" w:rsidRPr="00715B00" w:rsidRDefault="00B051D4" w:rsidP="00715B00">
      <w:pPr>
        <w:pStyle w:val="Tekstpodstawowy"/>
        <w:ind w:right="225"/>
        <w:rPr>
          <w:sz w:val="24"/>
        </w:rPr>
      </w:pPr>
    </w:p>
    <w:p w:rsidR="00B051D4" w:rsidRPr="00715B00" w:rsidRDefault="00B051D4" w:rsidP="00715B00">
      <w:pPr>
        <w:pStyle w:val="Tekstpodstawowy"/>
        <w:ind w:right="225"/>
        <w:rPr>
          <w:sz w:val="24"/>
        </w:rPr>
      </w:pPr>
    </w:p>
    <w:p w:rsidR="00B051D4" w:rsidRPr="00715B00" w:rsidRDefault="00D00C31" w:rsidP="00715B00">
      <w:pPr>
        <w:pStyle w:val="Nagwek1"/>
        <w:spacing w:before="207" w:line="252" w:lineRule="exact"/>
        <w:ind w:left="7007" w:right="225"/>
      </w:pPr>
      <w:r w:rsidRPr="00715B00">
        <w:t>Podpisy i pieczęcie</w:t>
      </w:r>
    </w:p>
    <w:p w:rsidR="00B051D4" w:rsidRPr="00715B00" w:rsidRDefault="00D00C31" w:rsidP="00715B00">
      <w:pPr>
        <w:spacing w:line="252" w:lineRule="exact"/>
        <w:ind w:left="6959" w:right="225"/>
        <w:rPr>
          <w:b/>
        </w:rPr>
      </w:pPr>
      <w:r w:rsidRPr="00715B00">
        <w:rPr>
          <w:b/>
        </w:rPr>
        <w:t>w imieniu Gwaranta:</w:t>
      </w:r>
    </w:p>
    <w:p w:rsidR="00B051D4" w:rsidRPr="002862EA" w:rsidRDefault="00B051D4" w:rsidP="00715B00">
      <w:pPr>
        <w:ind w:right="225"/>
        <w:jc w:val="right"/>
        <w:rPr>
          <w:rFonts w:ascii="Times New Roman"/>
          <w:sz w:val="24"/>
        </w:rPr>
      </w:pPr>
    </w:p>
    <w:sectPr w:rsidR="00B051D4" w:rsidRPr="002862EA" w:rsidSect="00715B00">
      <w:headerReference w:type="default" r:id="rId8"/>
      <w:pgSz w:w="11910" w:h="16840"/>
      <w:pgMar w:top="709" w:right="600" w:bottom="851" w:left="1020" w:header="21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AA" w:rsidRDefault="00FD11AA">
      <w:r>
        <w:separator/>
      </w:r>
    </w:p>
  </w:endnote>
  <w:endnote w:type="continuationSeparator" w:id="0">
    <w:p w:rsidR="00FD11AA" w:rsidRDefault="00F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AA" w:rsidRDefault="00FD11AA">
      <w:r>
        <w:separator/>
      </w:r>
    </w:p>
  </w:footnote>
  <w:footnote w:type="continuationSeparator" w:id="0">
    <w:p w:rsidR="00FD11AA" w:rsidRDefault="00FD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D4" w:rsidRDefault="00B051D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04E"/>
    <w:multiLevelType w:val="multilevel"/>
    <w:tmpl w:val="B2F28E4E"/>
    <w:lvl w:ilvl="0">
      <w:start w:val="14"/>
      <w:numFmt w:val="decimal"/>
      <w:lvlText w:val="%1"/>
      <w:lvlJc w:val="left"/>
      <w:pPr>
        <w:ind w:left="679" w:hanging="4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68"/>
        <w:jc w:val="left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01" w:hanging="4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61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2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3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04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468"/>
      </w:pPr>
      <w:rPr>
        <w:rFonts w:hint="default"/>
        <w:lang w:val="pl-PL" w:eastAsia="en-US" w:bidi="ar-SA"/>
      </w:rPr>
    </w:lvl>
  </w:abstractNum>
  <w:abstractNum w:abstractNumId="1">
    <w:nsid w:val="2778615C"/>
    <w:multiLevelType w:val="multilevel"/>
    <w:tmpl w:val="C1CC3C60"/>
    <w:lvl w:ilvl="0">
      <w:start w:val="11"/>
      <w:numFmt w:val="decimal"/>
      <w:lvlText w:val="%1"/>
      <w:lvlJc w:val="left"/>
      <w:pPr>
        <w:ind w:left="565" w:hanging="45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5" w:hanging="453"/>
        <w:jc w:val="left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39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7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pl-PL" w:eastAsia="en-US" w:bidi="ar-SA"/>
      </w:rPr>
    </w:lvl>
  </w:abstractNum>
  <w:abstractNum w:abstractNumId="2">
    <w:nsid w:val="41604250"/>
    <w:multiLevelType w:val="hybridMultilevel"/>
    <w:tmpl w:val="D936694E"/>
    <w:lvl w:ilvl="0" w:tplc="47225EB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pl-PL" w:eastAsia="en-US" w:bidi="ar-SA"/>
      </w:rPr>
    </w:lvl>
    <w:lvl w:ilvl="1" w:tplc="D47671C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35A7B50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367CBCF4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5A7A901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04B4D592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E74E1CC8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A34E7BF8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6F085C0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3">
    <w:nsid w:val="41BA4160"/>
    <w:multiLevelType w:val="multilevel"/>
    <w:tmpl w:val="BC780140"/>
    <w:lvl w:ilvl="0">
      <w:start w:val="12"/>
      <w:numFmt w:val="decimal"/>
      <w:lvlText w:val="%1"/>
      <w:lvlJc w:val="left"/>
      <w:pPr>
        <w:ind w:left="679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01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6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2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0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567"/>
      </w:pPr>
      <w:rPr>
        <w:rFonts w:hint="default"/>
        <w:lang w:val="pl-PL" w:eastAsia="en-US" w:bidi="ar-SA"/>
      </w:rPr>
    </w:lvl>
  </w:abstractNum>
  <w:abstractNum w:abstractNumId="4">
    <w:nsid w:val="5D013C69"/>
    <w:multiLevelType w:val="multilevel"/>
    <w:tmpl w:val="6C16FF38"/>
    <w:lvl w:ilvl="0">
      <w:start w:val="13"/>
      <w:numFmt w:val="decimal"/>
      <w:lvlText w:val="%1"/>
      <w:lvlJc w:val="left"/>
      <w:pPr>
        <w:ind w:left="616" w:hanging="50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6" w:hanging="505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53" w:hanging="5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19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6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53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9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53" w:hanging="505"/>
      </w:pPr>
      <w:rPr>
        <w:rFonts w:hint="default"/>
        <w:lang w:val="pl-PL" w:eastAsia="en-US" w:bidi="ar-SA"/>
      </w:rPr>
    </w:lvl>
  </w:abstractNum>
  <w:abstractNum w:abstractNumId="5">
    <w:nsid w:val="65827A24"/>
    <w:multiLevelType w:val="multilevel"/>
    <w:tmpl w:val="8A04678E"/>
    <w:lvl w:ilvl="0">
      <w:start w:val="15"/>
      <w:numFmt w:val="decimal"/>
      <w:lvlText w:val="%1"/>
      <w:lvlJc w:val="left"/>
      <w:pPr>
        <w:ind w:left="679" w:hanging="47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71"/>
        <w:jc w:val="left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01" w:hanging="47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61" w:hanging="4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22" w:hanging="4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4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3" w:hanging="4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04" w:hanging="4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47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51D4"/>
    <w:rsid w:val="000A053E"/>
    <w:rsid w:val="001C270D"/>
    <w:rsid w:val="00254706"/>
    <w:rsid w:val="002862EA"/>
    <w:rsid w:val="002B61C1"/>
    <w:rsid w:val="002F010D"/>
    <w:rsid w:val="002F791B"/>
    <w:rsid w:val="00541323"/>
    <w:rsid w:val="00715B00"/>
    <w:rsid w:val="0077326A"/>
    <w:rsid w:val="00791746"/>
    <w:rsid w:val="007C7907"/>
    <w:rsid w:val="00815263"/>
    <w:rsid w:val="00963F5C"/>
    <w:rsid w:val="00A611B2"/>
    <w:rsid w:val="00AE0E55"/>
    <w:rsid w:val="00B051D4"/>
    <w:rsid w:val="00B33CD3"/>
    <w:rsid w:val="00B74E59"/>
    <w:rsid w:val="00BE11C6"/>
    <w:rsid w:val="00C1128D"/>
    <w:rsid w:val="00D00C31"/>
    <w:rsid w:val="00E51655"/>
    <w:rsid w:val="00FA08A8"/>
    <w:rsid w:val="00FC036F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540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1"/>
      <w:ind w:right="389"/>
      <w:jc w:val="right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B33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CD3"/>
    <w:rPr>
      <w:rFonts w:ascii="Liberation Sans Narrow" w:eastAsia="Liberation Sans Narrow" w:hAnsi="Liberation Sans Narrow" w:cs="Liberation Sans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3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CD3"/>
    <w:rPr>
      <w:rFonts w:ascii="Liberation Sans Narrow" w:eastAsia="Liberation Sans Narrow" w:hAnsi="Liberation Sans Narrow" w:cs="Liberation Sans Narrow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0D"/>
    <w:rPr>
      <w:rFonts w:ascii="Segoe UI" w:eastAsia="Liberation Sans Narrow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48606806265</cp:lastModifiedBy>
  <cp:revision>16</cp:revision>
  <cp:lastPrinted>2023-05-08T12:50:00Z</cp:lastPrinted>
  <dcterms:created xsi:type="dcterms:W3CDTF">2022-09-23T07:49:00Z</dcterms:created>
  <dcterms:modified xsi:type="dcterms:W3CDTF">2023-10-23T18:09:00Z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2022-09-23T00:00:00Z</vt:filetime>
  </property>
</Properties>
</file>